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pacing w:val="-30"/>
          <w:sz w:val="36"/>
          <w:szCs w:val="36"/>
        </w:rPr>
      </w:pPr>
      <w:r>
        <w:rPr>
          <w:rFonts w:hint="eastAsia" w:asciiTheme="majorEastAsia" w:hAnsiTheme="majorEastAsia" w:eastAsiaTheme="majorEastAsia"/>
          <w:b/>
          <w:color w:val="auto"/>
          <w:spacing w:val="-30"/>
          <w:sz w:val="36"/>
          <w:szCs w:val="36"/>
        </w:rPr>
        <w:t>湖州师范学院保卫处安全疏散指示灯和应急照明灯采购项目</w:t>
      </w:r>
    </w:p>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采购文件</w:t>
      </w:r>
    </w:p>
    <w:p>
      <w:pPr>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一、采购项目名称及货物清单及要求：</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1.项目名称：</w:t>
      </w:r>
      <w:r>
        <w:rPr>
          <w:rFonts w:hint="eastAsia" w:ascii="仿宋" w:hAnsi="仿宋" w:eastAsia="仿宋"/>
          <w:color w:val="auto"/>
          <w:sz w:val="24"/>
          <w:szCs w:val="24"/>
        </w:rPr>
        <w:t>湖州师范学院保卫处安全疏散指示灯和应急照明灯采购项目</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2.采购项目编号：</w:t>
      </w:r>
      <w:r>
        <w:rPr>
          <w:rFonts w:hint="eastAsia" w:ascii="仿宋" w:hAnsi="仿宋" w:eastAsia="仿宋"/>
          <w:color w:val="auto"/>
          <w:sz w:val="24"/>
          <w:szCs w:val="24"/>
        </w:rPr>
        <w:t>XZ2020-133</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3.采购组织类型：分散采购自行组织</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4.采购方式：校内</w:t>
      </w:r>
      <w:r>
        <w:rPr>
          <w:rFonts w:hint="eastAsia" w:ascii="仿宋" w:hAnsi="仿宋" w:eastAsia="仿宋"/>
          <w:color w:val="auto"/>
          <w:sz w:val="24"/>
          <w:szCs w:val="24"/>
        </w:rPr>
        <w:t>询价</w:t>
      </w:r>
    </w:p>
    <w:p>
      <w:pPr>
        <w:ind w:firstLine="480" w:firstLineChars="200"/>
        <w:rPr>
          <w:rFonts w:ascii="仿宋" w:hAnsi="仿宋" w:eastAsia="仿宋"/>
          <w:color w:val="auto"/>
          <w:sz w:val="24"/>
        </w:rPr>
      </w:pPr>
      <w:r>
        <w:rPr>
          <w:rFonts w:hint="eastAsia" w:ascii="仿宋" w:hAnsi="仿宋" w:eastAsia="仿宋" w:cs="Times New Roman"/>
          <w:color w:val="auto"/>
          <w:sz w:val="24"/>
          <w:szCs w:val="24"/>
        </w:rPr>
        <w:t>5.采购预算：</w:t>
      </w:r>
      <w:r>
        <w:rPr>
          <w:rFonts w:hint="eastAsia" w:ascii="仿宋" w:hAnsi="仿宋" w:eastAsia="仿宋"/>
          <w:color w:val="auto"/>
          <w:sz w:val="24"/>
        </w:rPr>
        <w:t>人民币壹拾万零伍佰元（￥100500元）</w:t>
      </w:r>
    </w:p>
    <w:p>
      <w:pPr>
        <w:ind w:firstLine="480" w:firstLineChars="200"/>
        <w:jc w:val="left"/>
        <w:rPr>
          <w:rFonts w:ascii="仿宋" w:hAnsi="仿宋" w:eastAsia="仿宋"/>
          <w:color w:val="auto"/>
          <w:sz w:val="24"/>
        </w:rPr>
      </w:pPr>
      <w:r>
        <w:rPr>
          <w:rFonts w:hint="eastAsia" w:ascii="仿宋" w:hAnsi="仿宋" w:eastAsia="仿宋" w:cs="Times New Roman"/>
          <w:color w:val="auto"/>
          <w:sz w:val="24"/>
          <w:szCs w:val="24"/>
        </w:rPr>
        <w:t>6.采购需求及</w:t>
      </w:r>
      <w:r>
        <w:rPr>
          <w:rFonts w:hint="eastAsia" w:ascii="仿宋" w:hAnsi="仿宋" w:eastAsia="仿宋"/>
          <w:color w:val="auto"/>
          <w:sz w:val="24"/>
        </w:rPr>
        <w:t>采购清单：</w:t>
      </w:r>
    </w:p>
    <w:tbl>
      <w:tblPr>
        <w:tblStyle w:val="9"/>
        <w:tblW w:w="5220" w:type="pct"/>
        <w:tblInd w:w="0" w:type="dxa"/>
        <w:tblLayout w:type="fixed"/>
        <w:tblCellMar>
          <w:top w:w="0" w:type="dxa"/>
          <w:left w:w="108" w:type="dxa"/>
          <w:bottom w:w="0" w:type="dxa"/>
          <w:right w:w="108" w:type="dxa"/>
        </w:tblCellMar>
      </w:tblPr>
      <w:tblGrid>
        <w:gridCol w:w="817"/>
        <w:gridCol w:w="2835"/>
        <w:gridCol w:w="1418"/>
        <w:gridCol w:w="1701"/>
        <w:gridCol w:w="2126"/>
      </w:tblGrid>
      <w:tr>
        <w:tblPrEx>
          <w:tblCellMar>
            <w:top w:w="0" w:type="dxa"/>
            <w:left w:w="108" w:type="dxa"/>
            <w:bottom w:w="0" w:type="dxa"/>
            <w:right w:w="108" w:type="dxa"/>
          </w:tblCellMar>
        </w:tblPrEx>
        <w:trPr>
          <w:trHeight w:val="474" w:hRule="atLeast"/>
        </w:trPr>
        <w:tc>
          <w:tcPr>
            <w:tcW w:w="45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color w:val="auto"/>
                <w:sz w:val="24"/>
                <w:szCs w:val="24"/>
              </w:rPr>
            </w:pPr>
            <w:r>
              <w:rPr>
                <w:rFonts w:hint="eastAsia" w:ascii="仿宋" w:hAnsi="仿宋" w:eastAsia="仿宋" w:cs="Times New Roman"/>
                <w:b/>
                <w:bCs/>
                <w:color w:val="auto"/>
                <w:sz w:val="24"/>
                <w:szCs w:val="24"/>
              </w:rPr>
              <w:t>序号</w:t>
            </w:r>
          </w:p>
        </w:tc>
        <w:tc>
          <w:tcPr>
            <w:tcW w:w="1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Times New Roman"/>
                <w:b/>
                <w:bCs/>
                <w:color w:val="auto"/>
                <w:sz w:val="24"/>
                <w:szCs w:val="24"/>
              </w:rPr>
            </w:pPr>
            <w:r>
              <w:rPr>
                <w:rFonts w:hint="eastAsia" w:ascii="仿宋" w:hAnsi="仿宋" w:eastAsia="仿宋" w:cs="Times New Roman"/>
                <w:b/>
                <w:bCs/>
                <w:color w:val="auto"/>
                <w:sz w:val="24"/>
                <w:szCs w:val="24"/>
              </w:rPr>
              <w:t>项目</w:t>
            </w:r>
          </w:p>
        </w:tc>
        <w:tc>
          <w:tcPr>
            <w:tcW w:w="797"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Times New Roman"/>
                <w:b/>
                <w:bCs/>
                <w:color w:val="auto"/>
                <w:sz w:val="24"/>
                <w:szCs w:val="24"/>
              </w:rPr>
            </w:pPr>
            <w:r>
              <w:rPr>
                <w:rFonts w:hint="eastAsia" w:ascii="仿宋" w:hAnsi="仿宋" w:eastAsia="仿宋" w:cs="Times New Roman"/>
                <w:b/>
                <w:bCs/>
                <w:color w:val="auto"/>
                <w:sz w:val="24"/>
                <w:szCs w:val="24"/>
              </w:rPr>
              <w:t>数量/块</w:t>
            </w:r>
          </w:p>
        </w:tc>
        <w:tc>
          <w:tcPr>
            <w:tcW w:w="9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Times New Roman"/>
                <w:b/>
                <w:bCs/>
                <w:color w:val="auto"/>
                <w:sz w:val="24"/>
                <w:szCs w:val="24"/>
              </w:rPr>
            </w:pPr>
            <w:r>
              <w:rPr>
                <w:rFonts w:hint="eastAsia" w:ascii="仿宋" w:hAnsi="仿宋" w:eastAsia="仿宋" w:cs="Times New Roman"/>
                <w:b/>
                <w:bCs/>
                <w:color w:val="auto"/>
                <w:sz w:val="24"/>
                <w:szCs w:val="24"/>
              </w:rPr>
              <w:t>最高限价/元</w:t>
            </w:r>
          </w:p>
        </w:tc>
        <w:tc>
          <w:tcPr>
            <w:tcW w:w="119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Times New Roman"/>
                <w:b/>
                <w:bCs/>
                <w:color w:val="auto"/>
                <w:sz w:val="24"/>
                <w:szCs w:val="24"/>
              </w:rPr>
            </w:pPr>
            <w:r>
              <w:rPr>
                <w:rFonts w:hint="eastAsia" w:ascii="仿宋" w:hAnsi="仿宋" w:eastAsia="仿宋" w:cs="Times New Roman"/>
                <w:b/>
                <w:bCs/>
                <w:color w:val="auto"/>
                <w:sz w:val="24"/>
                <w:szCs w:val="24"/>
              </w:rPr>
              <w:t>参考品牌</w:t>
            </w:r>
          </w:p>
        </w:tc>
      </w:tr>
      <w:tr>
        <w:tblPrEx>
          <w:tblCellMar>
            <w:top w:w="0" w:type="dxa"/>
            <w:left w:w="108" w:type="dxa"/>
            <w:bottom w:w="0" w:type="dxa"/>
            <w:right w:w="108" w:type="dxa"/>
          </w:tblCellMar>
        </w:tblPrEx>
        <w:trPr>
          <w:trHeight w:val="527" w:hRule="atLeast"/>
        </w:trPr>
        <w:tc>
          <w:tcPr>
            <w:tcW w:w="459" w:type="pct"/>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1</w:t>
            </w:r>
          </w:p>
        </w:tc>
        <w:tc>
          <w:tcPr>
            <w:tcW w:w="15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安全疏散指示灯</w:t>
            </w:r>
          </w:p>
        </w:tc>
        <w:tc>
          <w:tcPr>
            <w:tcW w:w="797"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600</w:t>
            </w:r>
          </w:p>
        </w:tc>
        <w:tc>
          <w:tcPr>
            <w:tcW w:w="956"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85</w:t>
            </w:r>
          </w:p>
        </w:tc>
        <w:tc>
          <w:tcPr>
            <w:tcW w:w="1195"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艺光、海宜嘉、盛世名门</w:t>
            </w:r>
          </w:p>
        </w:tc>
      </w:tr>
      <w:tr>
        <w:tblPrEx>
          <w:tblCellMar>
            <w:top w:w="0" w:type="dxa"/>
            <w:left w:w="108" w:type="dxa"/>
            <w:bottom w:w="0" w:type="dxa"/>
            <w:right w:w="108" w:type="dxa"/>
          </w:tblCellMar>
        </w:tblPrEx>
        <w:trPr>
          <w:trHeight w:val="527" w:hRule="atLeast"/>
        </w:trPr>
        <w:tc>
          <w:tcPr>
            <w:tcW w:w="45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2</w:t>
            </w:r>
          </w:p>
        </w:tc>
        <w:tc>
          <w:tcPr>
            <w:tcW w:w="15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安全疏散指示灯/应急照明灯</w:t>
            </w:r>
          </w:p>
        </w:tc>
        <w:tc>
          <w:tcPr>
            <w:tcW w:w="797"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900</w:t>
            </w:r>
          </w:p>
        </w:tc>
        <w:tc>
          <w:tcPr>
            <w:tcW w:w="9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55</w:t>
            </w:r>
          </w:p>
        </w:tc>
        <w:tc>
          <w:tcPr>
            <w:tcW w:w="119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艺光、海宜嘉、盛世名门</w:t>
            </w:r>
          </w:p>
        </w:tc>
      </w:tr>
      <w:tr>
        <w:tblPrEx>
          <w:tblCellMar>
            <w:top w:w="0" w:type="dxa"/>
            <w:left w:w="108" w:type="dxa"/>
            <w:bottom w:w="0" w:type="dxa"/>
            <w:right w:w="108" w:type="dxa"/>
          </w:tblCellMar>
        </w:tblPrEx>
        <w:trPr>
          <w:trHeight w:val="527" w:hRule="atLeast"/>
        </w:trPr>
        <w:tc>
          <w:tcPr>
            <w:tcW w:w="2849"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总计（元）</w:t>
            </w:r>
          </w:p>
        </w:tc>
        <w:tc>
          <w:tcPr>
            <w:tcW w:w="215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100500元</w:t>
            </w:r>
          </w:p>
        </w:tc>
      </w:tr>
    </w:tbl>
    <w:p>
      <w:pPr>
        <w:ind w:firstLine="472" w:firstLineChars="196"/>
        <w:jc w:val="left"/>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注1：第1项安全疏散指示灯需要重新布线加装或者布线更改安装位置；第2项安全疏散指示灯和应急照明灯不涉及线路、位置等改动，原位置更换即可。</w:t>
      </w:r>
    </w:p>
    <w:p>
      <w:pPr>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注2：</w:t>
      </w: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采购预算为最高限价，投标人报价超出采购预算为无效报价。▲技术参数为不可偏离指标，负偏离作无效标处理。</w:t>
      </w:r>
    </w:p>
    <w:p>
      <w:pPr>
        <w:pStyle w:val="13"/>
        <w:ind w:firstLine="482"/>
        <w:rPr>
          <w:rFonts w:ascii="仿宋" w:hAnsi="仿宋" w:eastAsia="仿宋"/>
          <w:b/>
          <w:color w:val="auto"/>
          <w:sz w:val="24"/>
          <w:szCs w:val="24"/>
        </w:rPr>
      </w:pPr>
      <w:r>
        <w:rPr>
          <w:rFonts w:hint="eastAsia" w:ascii="仿宋" w:hAnsi="仿宋" w:eastAsia="仿宋" w:cs="Times New Roman"/>
          <w:b/>
          <w:color w:val="auto"/>
          <w:sz w:val="24"/>
          <w:szCs w:val="24"/>
        </w:rPr>
        <w:t>注3：</w:t>
      </w:r>
      <w:r>
        <w:rPr>
          <w:rFonts w:hint="eastAsia" w:ascii="仿宋" w:hAnsi="仿宋" w:eastAsia="仿宋"/>
          <w:b/>
          <w:color w:val="auto"/>
          <w:sz w:val="24"/>
          <w:szCs w:val="24"/>
        </w:rPr>
        <w:t>本项目采购预算包含货物、运输、拆卸、安装、辅材、人工、调试、验收、安全、保险、税金等所涉及本项目的一切费用。报价以后不再以材料涨价或其他任何理由调整价格。</w:t>
      </w:r>
    </w:p>
    <w:p>
      <w:pPr>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注4：投标总价和单价均不得超出最高限价，超出作无效标处理。</w:t>
      </w:r>
    </w:p>
    <w:p>
      <w:pPr>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注5：如需项目安装施工的，相关工人必须按照国家相关规定持证上岗，如因无证上岗引起的安全事故由中标人承担全部法律责任。</w:t>
      </w:r>
    </w:p>
    <w:p>
      <w:pPr>
        <w:pStyle w:val="13"/>
        <w:ind w:firstLine="482"/>
        <w:rPr>
          <w:rFonts w:ascii="仿宋" w:hAnsi="仿宋" w:eastAsia="仿宋"/>
          <w:b/>
          <w:color w:val="auto"/>
          <w:sz w:val="24"/>
          <w:szCs w:val="24"/>
        </w:rPr>
      </w:pPr>
      <w:r>
        <w:rPr>
          <w:rFonts w:hint="eastAsia" w:ascii="仿宋" w:hAnsi="仿宋" w:eastAsia="仿宋"/>
          <w:b/>
          <w:color w:val="auto"/>
          <w:sz w:val="24"/>
          <w:szCs w:val="24"/>
        </w:rPr>
        <w:t>注6：目前校内指示灯为壁装、悬挂式、嵌入式3种安装方式都有，嵌入式指示灯尺寸含：大号（长度约425mm）、中号（长度约390mm）、小号（长度约360mm）三种，以中号居多。</w:t>
      </w:r>
    </w:p>
    <w:p>
      <w:pPr>
        <w:pStyle w:val="13"/>
        <w:ind w:firstLine="482"/>
        <w:rPr>
          <w:rFonts w:ascii="仿宋" w:hAnsi="仿宋" w:eastAsia="仿宋"/>
          <w:b/>
          <w:color w:val="auto"/>
          <w:sz w:val="24"/>
          <w:szCs w:val="24"/>
        </w:rPr>
      </w:pPr>
      <w:r>
        <w:rPr>
          <w:rFonts w:hint="eastAsia" w:ascii="仿宋" w:hAnsi="仿宋" w:eastAsia="仿宋"/>
          <w:b/>
          <w:color w:val="auto"/>
          <w:sz w:val="24"/>
          <w:szCs w:val="24"/>
        </w:rPr>
        <w:t>7.施工具体要求（如需勘察现场，请联系</w:t>
      </w:r>
      <w:r>
        <w:rPr>
          <w:rFonts w:hint="eastAsia" w:ascii="仿宋" w:hAnsi="仿宋" w:eastAsia="仿宋"/>
          <w:b/>
          <w:color w:val="auto"/>
          <w:sz w:val="24"/>
          <w:szCs w:val="24"/>
        </w:rPr>
        <w:t>刘老师 15268293661</w:t>
      </w:r>
      <w:r>
        <w:rPr>
          <w:rFonts w:hint="eastAsia" w:ascii="仿宋" w:hAnsi="仿宋" w:eastAsia="仿宋"/>
          <w:b/>
          <w:color w:val="auto"/>
          <w:sz w:val="24"/>
          <w:szCs w:val="24"/>
        </w:rPr>
        <w:t>）</w:t>
      </w:r>
    </w:p>
    <w:p>
      <w:pPr>
        <w:pStyle w:val="13"/>
        <w:ind w:firstLine="480"/>
        <w:rPr>
          <w:rFonts w:ascii="仿宋" w:hAnsi="仿宋" w:eastAsia="仿宋"/>
          <w:color w:val="auto"/>
          <w:sz w:val="24"/>
        </w:rPr>
      </w:pPr>
      <w:r>
        <w:rPr>
          <w:rFonts w:hint="eastAsia" w:ascii="仿宋" w:hAnsi="仿宋" w:eastAsia="仿宋"/>
          <w:color w:val="auto"/>
          <w:sz w:val="24"/>
        </w:rPr>
        <w:t>（1）对校园内所有建筑内的疏散指示灯进行排查，对损坏、故障等不能正常工作的，进行更换，</w:t>
      </w:r>
      <w:r>
        <w:rPr>
          <w:rFonts w:hint="eastAsia" w:ascii="仿宋" w:hAnsi="仿宋" w:eastAsia="仿宋"/>
          <w:color w:val="auto"/>
          <w:sz w:val="24"/>
        </w:rPr>
        <w:t>更换后需要保证可正常使用。</w:t>
      </w:r>
    </w:p>
    <w:p>
      <w:pPr>
        <w:pStyle w:val="13"/>
        <w:ind w:firstLine="480"/>
        <w:rPr>
          <w:rFonts w:ascii="仿宋" w:hAnsi="仿宋" w:eastAsia="仿宋"/>
          <w:color w:val="auto"/>
          <w:sz w:val="24"/>
        </w:rPr>
      </w:pPr>
      <w:r>
        <w:rPr>
          <w:rFonts w:hint="eastAsia" w:ascii="仿宋" w:hAnsi="仿宋" w:eastAsia="仿宋"/>
          <w:color w:val="auto"/>
          <w:sz w:val="24"/>
        </w:rPr>
        <w:t>（2）宿舍楼A5-A14楼道内没有指示灯的进行布线加装。</w:t>
      </w:r>
    </w:p>
    <w:p>
      <w:pPr>
        <w:pStyle w:val="13"/>
        <w:ind w:firstLine="480"/>
        <w:rPr>
          <w:rFonts w:ascii="仿宋" w:hAnsi="仿宋" w:eastAsia="仿宋"/>
          <w:color w:val="auto"/>
          <w:sz w:val="24"/>
        </w:rPr>
      </w:pPr>
      <w:r>
        <w:rPr>
          <w:rFonts w:hint="eastAsia" w:ascii="仿宋" w:hAnsi="仿宋" w:eastAsia="仿宋"/>
          <w:color w:val="auto"/>
          <w:sz w:val="24"/>
        </w:rPr>
        <w:t>（3）宿舍楼A5-A21</w:t>
      </w:r>
      <w:r>
        <w:rPr>
          <w:rFonts w:hint="eastAsia" w:ascii="仿宋" w:hAnsi="仿宋" w:eastAsia="仿宋"/>
          <w:color w:val="auto"/>
          <w:sz w:val="24"/>
        </w:rPr>
        <w:t>及其它楼宇内</w:t>
      </w:r>
      <w:r>
        <w:rPr>
          <w:rFonts w:hint="eastAsia" w:ascii="仿宋" w:hAnsi="仿宋" w:eastAsia="仿宋"/>
          <w:color w:val="auto"/>
          <w:sz w:val="24"/>
        </w:rPr>
        <w:t>部分指示灯位置不合理（高度不对、被遮挡等）的布线移位到合理的位置，张贴式的消防标贴铲掉。</w:t>
      </w:r>
    </w:p>
    <w:p>
      <w:pPr>
        <w:pStyle w:val="13"/>
        <w:ind w:firstLine="480"/>
        <w:rPr>
          <w:rFonts w:ascii="仿宋" w:hAnsi="仿宋" w:eastAsia="仿宋"/>
          <w:color w:val="auto"/>
          <w:sz w:val="24"/>
        </w:rPr>
      </w:pPr>
      <w:r>
        <w:rPr>
          <w:rFonts w:hint="eastAsia" w:ascii="仿宋" w:hAnsi="仿宋" w:eastAsia="仿宋"/>
          <w:color w:val="auto"/>
          <w:sz w:val="24"/>
        </w:rPr>
        <w:t>（4）更换过程中梳理楼宇内指示灯的线路，找到控制开关并标记，做位置说明。</w:t>
      </w:r>
    </w:p>
    <w:p>
      <w:pPr>
        <w:pStyle w:val="13"/>
        <w:ind w:firstLine="480"/>
        <w:rPr>
          <w:rFonts w:ascii="仿宋" w:hAnsi="仿宋" w:eastAsia="仿宋"/>
          <w:color w:val="auto"/>
          <w:sz w:val="24"/>
        </w:rPr>
      </w:pPr>
      <w:r>
        <w:rPr>
          <w:rFonts w:hint="eastAsia" w:ascii="仿宋" w:hAnsi="仿宋" w:eastAsia="仿宋"/>
          <w:color w:val="auto"/>
          <w:sz w:val="24"/>
        </w:rPr>
        <w:t>（5）按照原有的指示灯/应急照明灯的安装方式及尺寸进行安装。</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二、投标文件要求</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投标人的投标文件中应包含以下内容</w:t>
      </w:r>
      <w:r>
        <w:rPr>
          <w:rFonts w:hint="eastAsia" w:ascii="仿宋" w:hAnsi="仿宋" w:eastAsia="仿宋"/>
          <w:color w:val="auto"/>
          <w:sz w:val="24"/>
        </w:rPr>
        <w:t>（投标文件密封，一式两份，一正一副，胶装成册。所有证件均须真实、有效，复印件均须加盖公章，缺少以下任意一项内容即作无效标处理）</w:t>
      </w:r>
      <w:r>
        <w:rPr>
          <w:rFonts w:hint="eastAsia" w:ascii="仿宋" w:hAnsi="仿宋" w:eastAsia="仿宋"/>
          <w:color w:val="auto"/>
          <w:sz w:val="24"/>
          <w:szCs w:val="24"/>
        </w:rPr>
        <w:t>：</w:t>
      </w:r>
    </w:p>
    <w:p>
      <w:pPr>
        <w:ind w:firstLine="480" w:firstLineChars="200"/>
        <w:jc w:val="left"/>
        <w:rPr>
          <w:rFonts w:ascii="仿宋" w:hAnsi="仿宋" w:eastAsia="仿宋"/>
          <w:b/>
          <w:color w:val="auto"/>
          <w:sz w:val="24"/>
          <w:szCs w:val="24"/>
        </w:rPr>
      </w:pPr>
      <w:r>
        <w:rPr>
          <w:rFonts w:hint="eastAsia" w:ascii="仿宋" w:hAnsi="仿宋" w:eastAsia="仿宋"/>
          <w:color w:val="auto"/>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auto"/>
          <w:sz w:val="24"/>
          <w:szCs w:val="24"/>
        </w:rPr>
        <w:t>投标报价清单必须单独密封。</w:t>
      </w:r>
    </w:p>
    <w:p>
      <w:pPr>
        <w:ind w:firstLine="480" w:firstLineChars="200"/>
        <w:jc w:val="left"/>
        <w:rPr>
          <w:rFonts w:ascii="仿宋" w:hAnsi="仿宋" w:eastAsia="仿宋"/>
          <w:color w:val="auto"/>
          <w:sz w:val="24"/>
        </w:rPr>
      </w:pPr>
      <w:r>
        <w:rPr>
          <w:rFonts w:hint="eastAsia" w:ascii="仿宋" w:hAnsi="仿宋" w:eastAsia="仿宋"/>
          <w:color w:val="auto"/>
          <w:sz w:val="24"/>
        </w:rPr>
        <w:t>2.有效的营业执照副本复印件；</w:t>
      </w:r>
    </w:p>
    <w:p>
      <w:pPr>
        <w:ind w:firstLine="480" w:firstLineChars="200"/>
        <w:jc w:val="left"/>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s="仿宋_GB2312"/>
          <w:color w:val="auto"/>
          <w:sz w:val="24"/>
        </w:rPr>
        <w:t>投标人开户银行、户名、账号；</w:t>
      </w:r>
    </w:p>
    <w:p>
      <w:pPr>
        <w:ind w:firstLine="480" w:firstLineChars="200"/>
        <w:jc w:val="left"/>
        <w:rPr>
          <w:rFonts w:ascii="仿宋" w:hAnsi="仿宋" w:eastAsia="仿宋"/>
          <w:color w:val="auto"/>
          <w:sz w:val="24"/>
          <w:szCs w:val="24"/>
        </w:rPr>
      </w:pPr>
      <w:r>
        <w:rPr>
          <w:rFonts w:hint="eastAsia" w:ascii="仿宋" w:hAnsi="仿宋" w:eastAsia="仿宋" w:cs="仿宋_GB2312"/>
          <w:color w:val="auto"/>
          <w:sz w:val="24"/>
        </w:rPr>
        <w:t>4.</w:t>
      </w:r>
      <w:r>
        <w:rPr>
          <w:rFonts w:hint="eastAsia" w:ascii="仿宋" w:hAnsi="仿宋" w:eastAsia="仿宋"/>
          <w:color w:val="auto"/>
          <w:sz w:val="24"/>
          <w:szCs w:val="24"/>
        </w:rPr>
        <w:t>投标代表身份证复印件；如非法定代表人投标，另提供法定代表人授权委托书原件、法定代表人身份证复印件；</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6.其他相关证明材料</w:t>
      </w:r>
      <w:r>
        <w:rPr>
          <w:rFonts w:hint="eastAsia" w:ascii="仿宋" w:hAnsi="仿宋" w:eastAsia="仿宋" w:cs="仿宋_GB2312"/>
          <w:color w:val="auto"/>
          <w:sz w:val="24"/>
        </w:rPr>
        <w:t>（</w:t>
      </w:r>
      <w:r>
        <w:rPr>
          <w:rFonts w:hint="eastAsia" w:ascii="仿宋" w:hAnsi="仿宋" w:eastAsia="仿宋"/>
          <w:color w:val="auto"/>
          <w:sz w:val="24"/>
        </w:rPr>
        <w:t>采购文件要求提供</w:t>
      </w:r>
      <w:r>
        <w:rPr>
          <w:rFonts w:hint="eastAsia" w:ascii="仿宋" w:hAnsi="仿宋" w:eastAsia="仿宋" w:cs="仿宋_GB2312"/>
          <w:color w:val="auto"/>
          <w:sz w:val="24"/>
        </w:rPr>
        <w:t>的证明材料、投标人认为需要提交的材料等）；</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7.</w:t>
      </w:r>
      <w:r>
        <w:rPr>
          <w:rFonts w:hint="eastAsia" w:ascii="仿宋" w:hAnsi="仿宋" w:eastAsia="仿宋"/>
          <w:color w:val="auto"/>
          <w:sz w:val="24"/>
        </w:rPr>
        <w:t>提供自采购公告发布之日起至开标截止时间止的“信用中国”网站（www.creditchina.gov.cn）、中国政府采购网（www.ccgp.gov.cn）、</w:t>
      </w:r>
      <w:r>
        <w:rPr>
          <w:rFonts w:hint="eastAsia" w:ascii="仿宋" w:hAnsi="仿宋" w:eastAsia="仿宋" w:cs="仿宋_GB2312"/>
          <w:color w:val="auto"/>
          <w:sz w:val="24"/>
        </w:rPr>
        <w:t>“浙江政府采购网”（www.zjzfcg.gov.cn）</w:t>
      </w:r>
      <w:r>
        <w:rPr>
          <w:rFonts w:hint="eastAsia" w:ascii="仿宋" w:hAnsi="仿宋" w:eastAsia="仿宋"/>
          <w:color w:val="auto"/>
          <w:sz w:val="24"/>
        </w:rPr>
        <w:t>投标人信用查询网页截图（以开标当日采购人核实的查询结果为准）。（提供任何2个查询网页截图即可）；</w:t>
      </w:r>
    </w:p>
    <w:p>
      <w:pPr>
        <w:ind w:firstLine="480" w:firstLineChars="200"/>
        <w:jc w:val="left"/>
        <w:rPr>
          <w:rFonts w:ascii="仿宋" w:hAnsi="仿宋" w:eastAsia="仿宋"/>
          <w:color w:val="auto"/>
          <w:sz w:val="24"/>
        </w:rPr>
      </w:pPr>
      <w:r>
        <w:rPr>
          <w:rFonts w:hint="eastAsia" w:ascii="仿宋" w:hAnsi="仿宋" w:eastAsia="仿宋"/>
          <w:color w:val="auto"/>
          <w:sz w:val="24"/>
        </w:rPr>
        <w:t>8.提供投标人未在行政处罚期内和未被列入经营异常名录的查询网页截图（国家企业信用信息公示系统：</w:t>
      </w:r>
      <w:r>
        <w:rPr>
          <w:color w:val="auto"/>
        </w:rPr>
        <w:fldChar w:fldCharType="begin"/>
      </w:r>
      <w:r>
        <w:rPr>
          <w:color w:val="auto"/>
        </w:rPr>
        <w:instrText xml:space="preserve"> HYPERLINK "http://www.gsxt.gov.cn）。" </w:instrText>
      </w:r>
      <w:r>
        <w:rPr>
          <w:color w:val="auto"/>
        </w:rPr>
        <w:fldChar w:fldCharType="separate"/>
      </w:r>
      <w:r>
        <w:rPr>
          <w:rStyle w:val="11"/>
          <w:rFonts w:hint="eastAsia" w:ascii="仿宋" w:hAnsi="仿宋" w:eastAsia="仿宋" w:cs="仿宋_GB2312"/>
          <w:color w:val="auto"/>
          <w:sz w:val="24"/>
        </w:rPr>
        <w:t>www.gsxt.gov.cn</w:t>
      </w:r>
      <w:r>
        <w:rPr>
          <w:rStyle w:val="11"/>
          <w:rFonts w:hint="eastAsia" w:ascii="仿宋" w:hAnsi="仿宋" w:eastAsia="仿宋"/>
          <w:color w:val="auto"/>
          <w:sz w:val="24"/>
        </w:rPr>
        <w:t>）。</w:t>
      </w:r>
      <w:r>
        <w:rPr>
          <w:rStyle w:val="11"/>
          <w:rFonts w:hint="eastAsia" w:ascii="仿宋" w:hAnsi="仿宋" w:eastAsia="仿宋"/>
          <w:color w:val="auto"/>
          <w:sz w:val="24"/>
        </w:rPr>
        <w:fldChar w:fldCharType="end"/>
      </w:r>
    </w:p>
    <w:p>
      <w:pPr>
        <w:ind w:firstLine="480" w:firstLineChars="200"/>
        <w:jc w:val="left"/>
        <w:rPr>
          <w:rFonts w:ascii="仿宋" w:hAnsi="仿宋" w:eastAsia="仿宋"/>
          <w:color w:val="auto"/>
          <w:sz w:val="24"/>
        </w:rPr>
      </w:pPr>
      <w:r>
        <w:rPr>
          <w:rFonts w:hint="eastAsia" w:ascii="仿宋" w:hAnsi="仿宋" w:eastAsia="仿宋"/>
          <w:color w:val="auto"/>
          <w:sz w:val="24"/>
        </w:rPr>
        <w:t>9.施工人员名单及资质证明</w:t>
      </w:r>
    </w:p>
    <w:p>
      <w:pPr>
        <w:ind w:firstLine="480" w:firstLineChars="200"/>
        <w:jc w:val="left"/>
        <w:rPr>
          <w:rFonts w:ascii="仿宋" w:hAnsi="仿宋" w:eastAsia="仿宋"/>
          <w:color w:val="auto"/>
          <w:sz w:val="24"/>
        </w:rPr>
      </w:pPr>
      <w:r>
        <w:rPr>
          <w:rFonts w:hint="eastAsia" w:ascii="仿宋" w:hAnsi="仿宋" w:eastAsia="仿宋"/>
          <w:color w:val="auto"/>
          <w:sz w:val="24"/>
        </w:rPr>
        <w:t>10.售后服务承诺</w:t>
      </w:r>
    </w:p>
    <w:p>
      <w:pPr>
        <w:ind w:firstLine="480" w:firstLineChars="200"/>
        <w:jc w:val="left"/>
        <w:rPr>
          <w:rFonts w:ascii="仿宋" w:hAnsi="仿宋" w:eastAsia="仿宋"/>
          <w:color w:val="auto"/>
          <w:sz w:val="24"/>
        </w:rPr>
      </w:pPr>
      <w:r>
        <w:rPr>
          <w:rFonts w:hint="eastAsia" w:ascii="仿宋" w:hAnsi="仿宋" w:eastAsia="仿宋"/>
          <w:color w:val="auto"/>
          <w:sz w:val="24"/>
        </w:rPr>
        <w:t>11.产品检验报告，3C认证，质量检测认证，合格证。</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三、投标文件递交及开标时间、地点</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1.开标时间：2020年10月09日上午10：30（投标人无需派代表出席开标会议）；</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2.开标地点：湖州市二环东路759号湖州师范学院东校区明达楼202室；</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3.联系人：董老师；</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4.电话：0572-2321093。</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四、中标办法</w:t>
      </w:r>
    </w:p>
    <w:p>
      <w:pPr>
        <w:ind w:firstLine="480" w:firstLineChars="200"/>
        <w:jc w:val="left"/>
        <w:rPr>
          <w:rFonts w:ascii="仿宋" w:hAnsi="仿宋" w:eastAsia="仿宋"/>
          <w:color w:val="auto"/>
          <w:sz w:val="24"/>
        </w:rPr>
      </w:pPr>
      <w:r>
        <w:rPr>
          <w:rFonts w:hint="eastAsia" w:ascii="仿宋" w:hAnsi="仿宋" w:eastAsia="仿宋"/>
          <w:color w:val="auto"/>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auto"/>
          <w:sz w:val="24"/>
          <w:szCs w:val="24"/>
        </w:rPr>
        <w:t>中标结果需经公示确认。</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五、履约保证金</w:t>
      </w:r>
    </w:p>
    <w:p>
      <w:pPr>
        <w:ind w:firstLine="480" w:firstLineChars="200"/>
        <w:contextualSpacing/>
        <w:jc w:val="left"/>
        <w:rPr>
          <w:rFonts w:ascii="仿宋" w:hAnsi="仿宋" w:eastAsia="仿宋"/>
          <w:color w:val="auto"/>
          <w:sz w:val="24"/>
          <w:szCs w:val="24"/>
        </w:rPr>
      </w:pPr>
      <w:r>
        <w:rPr>
          <w:rFonts w:hint="eastAsia" w:ascii="仿宋" w:hAnsi="仿宋" w:eastAsia="仿宋" w:cs="Times New Roman"/>
          <w:color w:val="auto"/>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auto"/>
          <w:sz w:val="24"/>
        </w:rPr>
        <w:t>履约保证金无息退还。</w:t>
      </w:r>
      <w:r>
        <w:rPr>
          <w:rFonts w:hint="eastAsia" w:ascii="仿宋" w:hAnsi="仿宋" w:eastAsia="仿宋"/>
          <w:color w:val="auto"/>
          <w:sz w:val="24"/>
          <w:szCs w:val="24"/>
        </w:rPr>
        <w:t>采购人</w:t>
      </w:r>
      <w:r>
        <w:rPr>
          <w:rFonts w:ascii="仿宋" w:hAnsi="仿宋" w:eastAsia="仿宋"/>
          <w:color w:val="auto"/>
          <w:sz w:val="24"/>
          <w:szCs w:val="24"/>
        </w:rPr>
        <w:t>单位名称：湖州师范学院</w:t>
      </w:r>
      <w:r>
        <w:rPr>
          <w:rFonts w:hint="eastAsia" w:ascii="仿宋" w:hAnsi="仿宋" w:eastAsia="仿宋"/>
          <w:color w:val="auto"/>
          <w:sz w:val="24"/>
          <w:szCs w:val="24"/>
        </w:rPr>
        <w:t>；</w:t>
      </w:r>
      <w:r>
        <w:rPr>
          <w:rFonts w:ascii="仿宋" w:hAnsi="仿宋" w:eastAsia="仿宋"/>
          <w:color w:val="auto"/>
          <w:sz w:val="24"/>
          <w:szCs w:val="24"/>
        </w:rPr>
        <w:t>开户行：建行吴兴支行</w:t>
      </w:r>
      <w:r>
        <w:rPr>
          <w:rFonts w:hint="eastAsia" w:ascii="仿宋" w:hAnsi="仿宋" w:eastAsia="仿宋"/>
          <w:color w:val="auto"/>
          <w:sz w:val="24"/>
          <w:szCs w:val="24"/>
        </w:rPr>
        <w:t>；</w:t>
      </w:r>
      <w:r>
        <w:rPr>
          <w:rFonts w:ascii="仿宋" w:hAnsi="仿宋" w:eastAsia="仿宋"/>
          <w:color w:val="auto"/>
          <w:sz w:val="24"/>
          <w:szCs w:val="24"/>
        </w:rPr>
        <w:t>账号</w:t>
      </w:r>
      <w:r>
        <w:rPr>
          <w:rFonts w:hint="eastAsia" w:ascii="仿宋" w:hAnsi="仿宋" w:eastAsia="仿宋"/>
          <w:color w:val="auto"/>
          <w:sz w:val="24"/>
          <w:szCs w:val="24"/>
        </w:rPr>
        <w:t>：</w:t>
      </w:r>
      <w:r>
        <w:rPr>
          <w:rFonts w:ascii="仿宋" w:hAnsi="仿宋" w:eastAsia="仿宋"/>
          <w:color w:val="auto"/>
          <w:sz w:val="24"/>
          <w:szCs w:val="24"/>
        </w:rPr>
        <w:t>33001649335050002860</w:t>
      </w:r>
      <w:r>
        <w:rPr>
          <w:rFonts w:hint="eastAsia" w:ascii="仿宋" w:hAnsi="仿宋" w:eastAsia="仿宋"/>
          <w:color w:val="auto"/>
          <w:sz w:val="24"/>
          <w:szCs w:val="24"/>
        </w:rPr>
        <w:t>。</w:t>
      </w:r>
      <w:r>
        <w:rPr>
          <w:rFonts w:ascii="仿宋" w:hAnsi="仿宋" w:eastAsia="仿宋"/>
          <w:color w:val="auto"/>
          <w:sz w:val="24"/>
          <w:szCs w:val="24"/>
        </w:rPr>
        <w:t>统一社会信用代码：123305004711725032</w:t>
      </w:r>
      <w:r>
        <w:rPr>
          <w:rFonts w:hint="eastAsia" w:ascii="仿宋" w:hAnsi="仿宋" w:eastAsia="仿宋"/>
          <w:color w:val="auto"/>
          <w:sz w:val="24"/>
          <w:szCs w:val="24"/>
        </w:rPr>
        <w:t>。地址、电话：湖州市二环东路759号，0572-2321567。</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六、付款方式</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在疫情期间，根据浙江省财政厅《关于坚决打赢疫情防控阻击战进一步做好政府采购资金支持企业发展工作的通知》（浙财采监﹝2020﹞3号）要求,制订以下付款方式:</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付款方式一：</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（1）采购人自采购合同生效及具备实施条件后15日内支付预付款，也即合同金额的30%；</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（2）采购金额剩余款项于采购项目履行完毕并经过采购人书面确认后由采购人向供应商支付。</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采购人应自收到供应商开具的发票后15日内将上述相关款项支付到合同约定的供应商账户。</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付款方式二：</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（1）供应商确认，不需支付预付款（由供应商签订合同代表手抄并签字，手写文字上加盖供应商公章）；</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（2）（一次性支付或分期支付均可，根据采购人与供应商协商的方式确定）采购人应自收到供应商开具的发票后15日内将上述相关款项支付到合同约定的供应商账户。</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付款方式三：验收合格后</w:t>
      </w:r>
      <w:r>
        <w:rPr>
          <w:rFonts w:hint="eastAsia" w:ascii="仿宋" w:hAnsi="仿宋" w:eastAsia="仿宋"/>
          <w:color w:val="auto"/>
          <w:sz w:val="24"/>
        </w:rPr>
        <w:t>以季度为单位，据实结算</w:t>
      </w:r>
      <w:r>
        <w:rPr>
          <w:rFonts w:hint="eastAsia" w:ascii="仿宋" w:hAnsi="仿宋" w:eastAsia="仿宋" w:cs="仿宋"/>
          <w:color w:val="auto"/>
          <w:sz w:val="24"/>
        </w:rPr>
        <w:t>。</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注1：采购人在向供应商支付预付款之前，有权要求供应商向采购人提供与预付款金额相对应的担保措施，担保措施可以是银行、保险公司等金融机构出具的预付款保函或其他担保措施。</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注2：若成交供应商明确表示无需预付款或者主动要求降低预付款比例的，采购人可不适用前述规定。</w:t>
      </w:r>
    </w:p>
    <w:p>
      <w:pPr>
        <w:spacing w:line="3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税费：本服务执行中相关的一切税费均由成交供应商负担。</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七、交货时间及地点</w:t>
      </w:r>
    </w:p>
    <w:p>
      <w:pPr>
        <w:spacing w:line="340" w:lineRule="exact"/>
        <w:ind w:firstLine="482" w:firstLineChars="200"/>
        <w:jc w:val="left"/>
        <w:rPr>
          <w:rFonts w:ascii="仿宋" w:hAnsi="仿宋" w:eastAsia="仿宋"/>
          <w:b/>
          <w:color w:val="auto"/>
          <w:sz w:val="24"/>
        </w:rPr>
      </w:pPr>
      <w:r>
        <w:rPr>
          <w:rFonts w:hint="eastAsia" w:ascii="仿宋" w:hAnsi="仿宋" w:eastAsia="仿宋"/>
          <w:b/>
          <w:color w:val="auto"/>
          <w:sz w:val="24"/>
        </w:rPr>
        <w:t>交货时间：按招标人约定在指定期限分批次</w:t>
      </w:r>
      <w:r>
        <w:rPr>
          <w:rFonts w:hint="eastAsia" w:ascii="仿宋" w:hAnsi="仿宋" w:eastAsia="仿宋"/>
          <w:b/>
          <w:bCs/>
          <w:color w:val="auto"/>
          <w:sz w:val="24"/>
        </w:rPr>
        <w:t>完成供货及安装</w:t>
      </w:r>
      <w:r>
        <w:rPr>
          <w:rFonts w:hint="eastAsia" w:ascii="仿宋" w:hAnsi="仿宋" w:eastAsia="仿宋"/>
          <w:b/>
          <w:color w:val="auto"/>
          <w:sz w:val="24"/>
        </w:rPr>
        <w:t>。逾期没收履约保证金，采购人有权单方面解除合同。</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交货地点：湖州师范学院采购人指定地点。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八、质保期及售后服务</w:t>
      </w:r>
    </w:p>
    <w:p>
      <w:pPr>
        <w:pStyle w:val="13"/>
        <w:ind w:left="468" w:firstLine="0" w:firstLineChars="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w:t>
      </w:r>
      <w:r>
        <w:rPr>
          <w:rFonts w:hint="eastAsia" w:ascii="仿宋" w:hAnsi="仿宋" w:eastAsia="仿宋"/>
          <w:b/>
          <w:color w:val="auto"/>
          <w:sz w:val="24"/>
          <w:szCs w:val="24"/>
        </w:rPr>
        <w:t>质保期：1年，自验收合格之日起计算。</w:t>
      </w:r>
      <w:r>
        <w:rPr>
          <w:rFonts w:hint="eastAsia" w:ascii="仿宋" w:hAnsi="仿宋" w:eastAsia="仿宋"/>
          <w:color w:val="auto"/>
          <w:sz w:val="24"/>
        </w:rPr>
        <w:t>质保期内设备出现故障，中标人应在24小时内完成免费维修或更换。</w:t>
      </w:r>
    </w:p>
    <w:p>
      <w:pPr>
        <w:ind w:firstLine="480" w:firstLineChars="200"/>
        <w:jc w:val="left"/>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中标人应根据采购人要求</w:t>
      </w:r>
      <w:r>
        <w:rPr>
          <w:rFonts w:ascii="仿宋" w:hAnsi="仿宋" w:eastAsia="仿宋"/>
          <w:color w:val="auto"/>
          <w:sz w:val="24"/>
        </w:rPr>
        <w:t>,</w:t>
      </w:r>
      <w:r>
        <w:rPr>
          <w:rFonts w:hint="eastAsia" w:ascii="仿宋" w:hAnsi="仿宋" w:eastAsia="仿宋"/>
          <w:color w:val="auto"/>
          <w:sz w:val="24"/>
        </w:rPr>
        <w:t>派专业技术人员前往采购人单位免费为采购人指导培训操作人员</w:t>
      </w:r>
      <w:r>
        <w:rPr>
          <w:rFonts w:ascii="仿宋" w:hAnsi="仿宋" w:eastAsia="仿宋"/>
          <w:color w:val="auto"/>
          <w:sz w:val="24"/>
        </w:rPr>
        <w:t>,</w:t>
      </w:r>
      <w:r>
        <w:rPr>
          <w:rFonts w:hint="eastAsia" w:ascii="仿宋" w:hAnsi="仿宋" w:eastAsia="仿宋"/>
          <w:color w:val="auto"/>
          <w:sz w:val="24"/>
        </w:rPr>
        <w:t>直至采购人操作人员能熟练使用所购设备。</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九、产品质量保证</w:t>
      </w:r>
    </w:p>
    <w:p>
      <w:pPr>
        <w:pStyle w:val="13"/>
        <w:ind w:firstLine="480"/>
        <w:rPr>
          <w:rFonts w:ascii="仿宋" w:hAnsi="仿宋" w:eastAsia="仿宋"/>
          <w:color w:val="auto"/>
          <w:sz w:val="24"/>
        </w:rPr>
      </w:pPr>
      <w:r>
        <w:rPr>
          <w:rFonts w:hint="eastAsia" w:ascii="仿宋" w:hAnsi="仿宋" w:eastAsia="仿宋"/>
          <w:color w:val="auto"/>
          <w:sz w:val="24"/>
        </w:rPr>
        <w:t>1.产品应是经国家消防产品质量监督检验部门检测合格的产品，符合国家标准，可以通过消防检查；</w:t>
      </w:r>
    </w:p>
    <w:p>
      <w:pPr>
        <w:pStyle w:val="13"/>
        <w:ind w:firstLine="480"/>
        <w:rPr>
          <w:rFonts w:ascii="仿宋" w:hAnsi="仿宋" w:eastAsia="仿宋"/>
          <w:color w:val="auto"/>
          <w:sz w:val="24"/>
        </w:rPr>
      </w:pPr>
      <w:r>
        <w:rPr>
          <w:rFonts w:hint="eastAsia" w:ascii="仿宋" w:hAnsi="仿宋" w:eastAsia="仿宋"/>
          <w:color w:val="auto"/>
          <w:sz w:val="24"/>
        </w:rPr>
        <w:t>2.技术参数：安全疏散指示灯；带光源单（双）面；应急时间：＞90分钟；应急转换时间：＜2S</w:t>
      </w:r>
    </w:p>
    <w:p>
      <w:pPr>
        <w:pStyle w:val="13"/>
        <w:ind w:firstLine="480"/>
        <w:rPr>
          <w:rFonts w:ascii="仿宋" w:hAnsi="仿宋" w:eastAsia="仿宋"/>
          <w:color w:val="auto"/>
          <w:sz w:val="24"/>
        </w:rPr>
      </w:pPr>
      <w:r>
        <w:rPr>
          <w:rFonts w:hint="eastAsia" w:ascii="仿宋" w:hAnsi="仿宋" w:eastAsia="仿宋"/>
          <w:color w:val="auto"/>
          <w:sz w:val="24"/>
        </w:rPr>
        <w:t>3.应急照明灯：双头、LED</w:t>
      </w:r>
    </w:p>
    <w:p>
      <w:pPr>
        <w:pStyle w:val="13"/>
        <w:ind w:firstLine="480"/>
        <w:rPr>
          <w:rFonts w:ascii="仿宋" w:hAnsi="仿宋" w:eastAsia="仿宋"/>
          <w:color w:val="auto"/>
          <w:sz w:val="24"/>
        </w:rPr>
      </w:pPr>
      <w:r>
        <w:rPr>
          <w:rFonts w:hint="eastAsia" w:ascii="仿宋" w:hAnsi="仿宋" w:eastAsia="仿宋"/>
          <w:color w:val="auto"/>
          <w:sz w:val="24"/>
        </w:rPr>
        <w:t>4.产品需提供检验报告，3C认证，质量检测认证，合格证；</w:t>
      </w:r>
    </w:p>
    <w:p>
      <w:pPr>
        <w:pStyle w:val="13"/>
        <w:ind w:firstLine="480"/>
        <w:rPr>
          <w:rFonts w:ascii="仿宋" w:hAnsi="仿宋" w:eastAsia="仿宋"/>
          <w:color w:val="auto"/>
          <w:sz w:val="24"/>
        </w:rPr>
      </w:pPr>
      <w:r>
        <w:rPr>
          <w:rFonts w:hint="eastAsia" w:ascii="仿宋" w:hAnsi="仿宋" w:eastAsia="仿宋"/>
          <w:color w:val="auto"/>
          <w:sz w:val="24"/>
        </w:rPr>
        <w:t>5.安装的疏散指示灯应牢固，尺寸大小合适，疏散方向的指示应正确清晰；</w:t>
      </w:r>
    </w:p>
    <w:p>
      <w:pPr>
        <w:pStyle w:val="13"/>
        <w:ind w:firstLine="480"/>
        <w:rPr>
          <w:rFonts w:ascii="仿宋" w:hAnsi="仿宋" w:eastAsia="仿宋"/>
          <w:color w:val="auto"/>
          <w:sz w:val="24"/>
        </w:rPr>
      </w:pPr>
      <w:r>
        <w:rPr>
          <w:rFonts w:hint="eastAsia" w:ascii="仿宋" w:hAnsi="仿宋" w:eastAsia="仿宋"/>
          <w:color w:val="auto"/>
          <w:sz w:val="24"/>
        </w:rPr>
        <w:t>6.产品需用防水标贴进行供应商标识。</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7</w:t>
      </w:r>
      <w:r>
        <w:rPr>
          <w:rFonts w:ascii="仿宋" w:hAnsi="仿宋" w:eastAsia="仿宋"/>
          <w:color w:val="auto"/>
          <w:sz w:val="24"/>
        </w:rPr>
        <w:t>.</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中标人提供的产品如不符合采购文件要求和合同规定，采购人有权无条件退货，由中标人承担全部责任。</w:t>
      </w:r>
    </w:p>
    <w:p>
      <w:pPr>
        <w:spacing w:line="340" w:lineRule="exact"/>
        <w:ind w:firstLine="482" w:firstLineChars="200"/>
        <w:rPr>
          <w:rFonts w:ascii="仿宋" w:hAnsi="仿宋" w:eastAsia="仿宋"/>
          <w:b/>
          <w:bCs/>
          <w:color w:val="auto"/>
          <w:sz w:val="24"/>
        </w:rPr>
      </w:pPr>
      <w:r>
        <w:rPr>
          <w:rFonts w:hint="eastAsia" w:ascii="仿宋" w:hAnsi="仿宋" w:eastAsia="仿宋"/>
          <w:b/>
          <w:bCs/>
          <w:color w:val="auto"/>
          <w:sz w:val="24"/>
        </w:rPr>
        <w:t>十、其他约定</w:t>
      </w:r>
    </w:p>
    <w:p>
      <w:pPr>
        <w:pStyle w:val="13"/>
        <w:numPr>
          <w:ilvl w:val="0"/>
          <w:numId w:val="1"/>
        </w:numPr>
        <w:ind w:firstLineChars="0"/>
        <w:rPr>
          <w:rFonts w:ascii="仿宋" w:hAnsi="仿宋" w:eastAsia="仿宋"/>
          <w:color w:val="auto"/>
          <w:sz w:val="24"/>
        </w:rPr>
      </w:pPr>
      <w:r>
        <w:rPr>
          <w:rFonts w:hint="eastAsia" w:ascii="仿宋" w:hAnsi="仿宋" w:eastAsia="仿宋"/>
          <w:color w:val="auto"/>
          <w:sz w:val="24"/>
        </w:rPr>
        <w:t>响应时间：24小时提供服务，1小时内上门。</w:t>
      </w:r>
    </w:p>
    <w:p>
      <w:pPr>
        <w:pStyle w:val="13"/>
        <w:numPr>
          <w:ilvl w:val="0"/>
          <w:numId w:val="1"/>
        </w:numPr>
        <w:ind w:firstLineChars="0"/>
        <w:rPr>
          <w:rFonts w:ascii="仿宋" w:hAnsi="仿宋" w:eastAsia="仿宋"/>
          <w:color w:val="auto"/>
          <w:sz w:val="24"/>
        </w:rPr>
      </w:pPr>
      <w:r>
        <w:rPr>
          <w:rFonts w:hint="eastAsia" w:ascii="仿宋" w:hAnsi="仿宋" w:eastAsia="仿宋"/>
          <w:color w:val="auto"/>
          <w:sz w:val="24"/>
        </w:rPr>
        <w:t>供货方式：一般为一个月1-2次；也可能会出现紧急情况，不论需要货物多少，要保证及时送达安装，随叫</w:t>
      </w:r>
      <w:bookmarkStart w:id="0" w:name="_GoBack"/>
      <w:bookmarkEnd w:id="0"/>
      <w:r>
        <w:rPr>
          <w:rFonts w:hint="eastAsia" w:ascii="仿宋" w:hAnsi="仿宋" w:eastAsia="仿宋"/>
          <w:color w:val="auto"/>
          <w:sz w:val="24"/>
        </w:rPr>
        <w:t>随到。</w:t>
      </w:r>
    </w:p>
    <w:p>
      <w:pPr>
        <w:pStyle w:val="13"/>
        <w:numPr>
          <w:ilvl w:val="0"/>
          <w:numId w:val="1"/>
        </w:numPr>
        <w:ind w:firstLineChars="0"/>
        <w:rPr>
          <w:rFonts w:ascii="仿宋" w:hAnsi="仿宋" w:eastAsia="仿宋"/>
          <w:color w:val="auto"/>
          <w:sz w:val="24"/>
        </w:rPr>
      </w:pPr>
      <w:r>
        <w:rPr>
          <w:rFonts w:hint="eastAsia" w:ascii="仿宋" w:hAnsi="仿宋" w:eastAsia="仿宋"/>
          <w:color w:val="auto"/>
          <w:sz w:val="24"/>
        </w:rPr>
        <w:t>产品回收：疏散指示灯/应急照明灯更换完成后旧灯负责清理干净。</w:t>
      </w:r>
    </w:p>
    <w:p>
      <w:pPr>
        <w:pStyle w:val="13"/>
        <w:numPr>
          <w:ilvl w:val="0"/>
          <w:numId w:val="1"/>
        </w:numPr>
        <w:ind w:firstLineChars="0"/>
        <w:rPr>
          <w:rFonts w:ascii="仿宋" w:hAnsi="仿宋" w:eastAsia="仿宋"/>
          <w:color w:val="auto"/>
          <w:sz w:val="24"/>
        </w:rPr>
      </w:pPr>
      <w:r>
        <w:rPr>
          <w:rFonts w:hint="eastAsia" w:ascii="仿宋" w:hAnsi="仿宋" w:eastAsia="仿宋"/>
          <w:color w:val="auto"/>
          <w:sz w:val="24"/>
        </w:rPr>
        <w:t>供货数量以实际发生为准，如有变动，单价不变。</w:t>
      </w:r>
    </w:p>
    <w:p>
      <w:pPr>
        <w:spacing w:line="340" w:lineRule="exact"/>
        <w:ind w:firstLine="480" w:firstLineChars="200"/>
        <w:rPr>
          <w:rFonts w:ascii="仿宋" w:hAnsi="仿宋" w:eastAsia="仿宋"/>
          <w:color w:val="auto"/>
          <w:sz w:val="24"/>
        </w:rPr>
      </w:pPr>
    </w:p>
    <w:p>
      <w:pPr>
        <w:spacing w:line="340" w:lineRule="exact"/>
        <w:ind w:firstLine="480" w:firstLineChars="200"/>
        <w:rPr>
          <w:rFonts w:ascii="仿宋" w:hAnsi="仿宋" w:eastAsia="仿宋"/>
          <w:color w:val="auto"/>
          <w:sz w:val="24"/>
        </w:rPr>
      </w:pPr>
    </w:p>
    <w:p>
      <w:pPr>
        <w:ind w:firstLine="472" w:firstLineChars="196"/>
        <w:jc w:val="left"/>
        <w:rPr>
          <w:rFonts w:ascii="仿宋" w:hAnsi="仿宋" w:eastAsia="仿宋"/>
          <w:b/>
          <w:color w:val="auto"/>
          <w:sz w:val="24"/>
        </w:rPr>
      </w:pPr>
      <w:r>
        <w:rPr>
          <w:rFonts w:hint="eastAsia" w:ascii="仿宋" w:hAnsi="仿宋" w:eastAsia="仿宋"/>
          <w:b/>
          <w:color w:val="auto"/>
          <w:sz w:val="24"/>
        </w:rPr>
        <w:t>附件一：</w:t>
      </w:r>
      <w:r>
        <w:rPr>
          <w:rFonts w:ascii="仿宋" w:hAnsi="仿宋" w:eastAsia="仿宋"/>
          <w:b/>
          <w:color w:val="auto"/>
          <w:sz w:val="24"/>
        </w:rPr>
        <w:t>投标报价</w:t>
      </w:r>
      <w:r>
        <w:rPr>
          <w:rFonts w:hint="eastAsia" w:ascii="仿宋" w:hAnsi="仿宋" w:eastAsia="仿宋"/>
          <w:b/>
          <w:color w:val="auto"/>
          <w:sz w:val="24"/>
        </w:rPr>
        <w:t>清单。</w:t>
      </w:r>
    </w:p>
    <w:p>
      <w:pPr>
        <w:ind w:firstLine="470" w:firstLineChars="196"/>
        <w:jc w:val="left"/>
        <w:rPr>
          <w:rFonts w:ascii="仿宋" w:hAnsi="仿宋" w:eastAsia="仿宋"/>
          <w:color w:val="auto"/>
          <w:sz w:val="24"/>
          <w:szCs w:val="24"/>
        </w:rPr>
      </w:pPr>
    </w:p>
    <w:p>
      <w:pPr>
        <w:ind w:firstLine="470" w:firstLineChars="196"/>
        <w:jc w:val="left"/>
        <w:rPr>
          <w:rFonts w:ascii="仿宋" w:hAnsi="仿宋" w:eastAsia="仿宋"/>
          <w:color w:val="auto"/>
          <w:sz w:val="24"/>
          <w:szCs w:val="24"/>
        </w:rPr>
      </w:pPr>
    </w:p>
    <w:p>
      <w:pPr>
        <w:ind w:right="480" w:firstLine="4819" w:firstLineChars="2000"/>
        <w:rPr>
          <w:rFonts w:ascii="仿宋" w:hAnsi="仿宋" w:eastAsia="仿宋"/>
          <w:b/>
          <w:color w:val="auto"/>
          <w:sz w:val="24"/>
          <w:szCs w:val="24"/>
        </w:rPr>
      </w:pPr>
      <w:r>
        <w:rPr>
          <w:rFonts w:hint="eastAsia" w:ascii="仿宋" w:hAnsi="仿宋" w:eastAsia="仿宋"/>
          <w:b/>
          <w:color w:val="auto"/>
          <w:sz w:val="24"/>
          <w:szCs w:val="24"/>
        </w:rPr>
        <w:t xml:space="preserve">湖州师范学院采购管理中心 </w:t>
      </w:r>
    </w:p>
    <w:p>
      <w:pPr>
        <w:ind w:right="480" w:firstLine="5180" w:firstLineChars="2150"/>
        <w:rPr>
          <w:rFonts w:ascii="仿宋" w:hAnsi="仿宋" w:eastAsia="仿宋"/>
          <w:b/>
          <w:color w:val="auto"/>
          <w:sz w:val="24"/>
          <w:szCs w:val="24"/>
        </w:rPr>
      </w:pPr>
      <w:r>
        <w:rPr>
          <w:rFonts w:hint="eastAsia" w:ascii="仿宋" w:hAnsi="仿宋" w:eastAsia="仿宋"/>
          <w:b/>
          <w:color w:val="auto"/>
          <w:sz w:val="24"/>
          <w:szCs w:val="24"/>
        </w:rPr>
        <w:t>2020年09月24日</w:t>
      </w:r>
    </w:p>
    <w:p>
      <w:pPr>
        <w:pStyle w:val="3"/>
        <w:snapToGrid w:val="0"/>
        <w:spacing w:beforeLines="0" w:afterLines="0" w:line="240" w:lineRule="auto"/>
        <w:jc w:val="left"/>
        <w:rPr>
          <w:rFonts w:ascii="仿宋" w:hAnsi="仿宋" w:eastAsia="仿宋"/>
          <w:color w:val="auto"/>
          <w:szCs w:val="22"/>
        </w:rPr>
      </w:pP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r>
        <w:rPr>
          <w:rFonts w:hint="eastAsia" w:ascii="黑体" w:hAnsi="黑体" w:eastAsia="黑体"/>
          <w:color w:val="auto"/>
        </w:rPr>
        <w:t>附件一：</w:t>
      </w:r>
      <w:r>
        <w:rPr>
          <w:rFonts w:ascii="黑体" w:hAnsi="黑体" w:eastAsia="黑体"/>
          <w:color w:val="auto"/>
        </w:rPr>
        <w:t>投标报价</w:t>
      </w:r>
      <w:r>
        <w:rPr>
          <w:rFonts w:hint="eastAsia" w:ascii="黑体" w:hAnsi="黑体" w:eastAsia="黑体"/>
          <w:color w:val="auto"/>
        </w:rPr>
        <w:t>清单</w:t>
      </w:r>
    </w:p>
    <w:p>
      <w:pPr>
        <w:snapToGrid w:val="0"/>
        <w:spacing w:before="50" w:after="50"/>
        <w:jc w:val="center"/>
        <w:rPr>
          <w:rFonts w:ascii="仿宋" w:hAnsi="仿宋" w:eastAsia="仿宋"/>
          <w:b/>
          <w:color w:val="auto"/>
          <w:sz w:val="24"/>
        </w:rPr>
      </w:pPr>
      <w:r>
        <w:rPr>
          <w:rFonts w:hint="eastAsia" w:ascii="仿宋" w:hAnsi="仿宋" w:eastAsia="仿宋"/>
          <w:b/>
          <w:color w:val="auto"/>
          <w:sz w:val="24"/>
        </w:rPr>
        <w:t>投标报价清单</w:t>
      </w:r>
    </w:p>
    <w:p>
      <w:pPr>
        <w:jc w:val="left"/>
        <w:rPr>
          <w:rFonts w:ascii="仿宋" w:hAnsi="仿宋" w:eastAsia="仿宋"/>
          <w:b/>
          <w:color w:val="auto"/>
          <w:sz w:val="24"/>
        </w:rPr>
      </w:pPr>
      <w:r>
        <w:rPr>
          <w:rFonts w:hint="eastAsia" w:ascii="仿宋" w:hAnsi="仿宋" w:eastAsia="仿宋"/>
          <w:b/>
          <w:color w:val="auto"/>
          <w:sz w:val="24"/>
        </w:rPr>
        <w:t>采购项目名称：</w:t>
      </w:r>
      <w:r>
        <w:rPr>
          <w:rFonts w:hint="eastAsia" w:ascii="仿宋" w:hAnsi="仿宋" w:eastAsia="仿宋"/>
          <w:b/>
          <w:color w:val="auto"/>
          <w:sz w:val="24"/>
          <w:szCs w:val="24"/>
        </w:rPr>
        <w:t>湖州师范学院保卫处安全疏散指示灯和应急照明灯采购项目</w:t>
      </w:r>
    </w:p>
    <w:p>
      <w:pPr>
        <w:jc w:val="left"/>
        <w:rPr>
          <w:rFonts w:ascii="仿宋" w:hAnsi="仿宋" w:eastAsia="仿宋"/>
          <w:b/>
          <w:color w:val="auto"/>
          <w:sz w:val="24"/>
          <w:szCs w:val="24"/>
        </w:rPr>
      </w:pPr>
      <w:r>
        <w:rPr>
          <w:rFonts w:hint="eastAsia" w:ascii="仿宋" w:hAnsi="仿宋" w:eastAsia="仿宋"/>
          <w:b/>
          <w:color w:val="auto"/>
          <w:sz w:val="24"/>
        </w:rPr>
        <w:t>采购项目编号：</w:t>
      </w:r>
      <w:r>
        <w:rPr>
          <w:rFonts w:hint="eastAsia" w:ascii="仿宋" w:hAnsi="仿宋" w:eastAsia="仿宋"/>
          <w:b/>
          <w:color w:val="auto"/>
          <w:sz w:val="24"/>
          <w:szCs w:val="24"/>
        </w:rPr>
        <w:t>XZ2020-133</w:t>
      </w:r>
    </w:p>
    <w:tbl>
      <w:tblPr>
        <w:tblStyle w:val="9"/>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61"/>
        <w:gridCol w:w="1591"/>
        <w:gridCol w:w="1348"/>
        <w:gridCol w:w="10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2" w:type="dxa"/>
            <w:vAlign w:val="center"/>
          </w:tcPr>
          <w:p>
            <w:pPr>
              <w:widowControl/>
              <w:jc w:val="center"/>
              <w:rPr>
                <w:rFonts w:ascii="仿宋" w:hAnsi="仿宋" w:eastAsia="仿宋" w:cs="仿宋"/>
                <w:b/>
                <w:color w:val="auto"/>
                <w:kern w:val="0"/>
                <w:szCs w:val="21"/>
              </w:rPr>
            </w:pPr>
            <w:r>
              <w:rPr>
                <w:rFonts w:hint="eastAsia" w:ascii="仿宋" w:hAnsi="仿宋" w:eastAsia="仿宋" w:cs="仿宋"/>
                <w:b/>
                <w:color w:val="auto"/>
                <w:kern w:val="0"/>
                <w:szCs w:val="21"/>
              </w:rPr>
              <w:t>序号</w:t>
            </w:r>
          </w:p>
        </w:tc>
        <w:tc>
          <w:tcPr>
            <w:tcW w:w="1861" w:type="dxa"/>
            <w:vAlign w:val="center"/>
          </w:tcPr>
          <w:p>
            <w:pPr>
              <w:widowControl/>
              <w:jc w:val="center"/>
              <w:rPr>
                <w:rFonts w:ascii="仿宋" w:hAnsi="仿宋" w:eastAsia="仿宋" w:cs="仿宋"/>
                <w:b/>
                <w:color w:val="auto"/>
                <w:kern w:val="0"/>
                <w:szCs w:val="21"/>
              </w:rPr>
            </w:pPr>
            <w:r>
              <w:rPr>
                <w:rFonts w:hint="eastAsia" w:ascii="仿宋" w:hAnsi="仿宋" w:eastAsia="仿宋" w:cs="仿宋"/>
                <w:b/>
                <w:color w:val="auto"/>
                <w:kern w:val="0"/>
                <w:szCs w:val="21"/>
              </w:rPr>
              <w:t>产品名称</w:t>
            </w:r>
          </w:p>
        </w:tc>
        <w:tc>
          <w:tcPr>
            <w:tcW w:w="1591" w:type="dxa"/>
            <w:vAlign w:val="center"/>
          </w:tcPr>
          <w:p>
            <w:pPr>
              <w:widowControl/>
              <w:rPr>
                <w:rFonts w:ascii="仿宋" w:hAnsi="仿宋" w:eastAsia="仿宋" w:cs="仿宋"/>
                <w:b/>
                <w:color w:val="auto"/>
                <w:kern w:val="0"/>
                <w:szCs w:val="21"/>
              </w:rPr>
            </w:pPr>
            <w:r>
              <w:rPr>
                <w:rFonts w:hint="eastAsia" w:ascii="仿宋" w:hAnsi="仿宋" w:eastAsia="仿宋" w:cs="仿宋"/>
                <w:b/>
                <w:color w:val="auto"/>
                <w:kern w:val="0"/>
                <w:szCs w:val="21"/>
              </w:rPr>
              <w:t>品牌、规格</w:t>
            </w:r>
          </w:p>
        </w:tc>
        <w:tc>
          <w:tcPr>
            <w:tcW w:w="1348" w:type="dxa"/>
            <w:vAlign w:val="center"/>
          </w:tcPr>
          <w:p>
            <w:pPr>
              <w:widowControl/>
              <w:jc w:val="center"/>
              <w:rPr>
                <w:rFonts w:ascii="仿宋" w:hAnsi="仿宋" w:eastAsia="仿宋" w:cs="仿宋"/>
                <w:b/>
                <w:color w:val="auto"/>
                <w:kern w:val="0"/>
                <w:szCs w:val="21"/>
              </w:rPr>
            </w:pPr>
            <w:r>
              <w:rPr>
                <w:rFonts w:hint="eastAsia" w:ascii="仿宋" w:hAnsi="仿宋" w:eastAsia="仿宋" w:cs="仿宋"/>
                <w:b/>
                <w:color w:val="auto"/>
                <w:kern w:val="0"/>
                <w:szCs w:val="21"/>
              </w:rPr>
              <w:t>数量（块）</w:t>
            </w:r>
          </w:p>
        </w:tc>
        <w:tc>
          <w:tcPr>
            <w:tcW w:w="1095" w:type="dxa"/>
            <w:vAlign w:val="center"/>
          </w:tcPr>
          <w:p>
            <w:pPr>
              <w:widowControl/>
              <w:jc w:val="center"/>
              <w:rPr>
                <w:rFonts w:ascii="仿宋" w:hAnsi="仿宋" w:eastAsia="仿宋" w:cs="仿宋"/>
                <w:b/>
                <w:color w:val="auto"/>
                <w:kern w:val="0"/>
                <w:szCs w:val="21"/>
              </w:rPr>
            </w:pPr>
            <w:r>
              <w:rPr>
                <w:rFonts w:hint="eastAsia" w:ascii="仿宋" w:hAnsi="仿宋" w:eastAsia="仿宋" w:cs="仿宋"/>
                <w:b/>
                <w:color w:val="auto"/>
                <w:kern w:val="0"/>
                <w:szCs w:val="21"/>
              </w:rPr>
              <w:t>单价(元)</w:t>
            </w:r>
          </w:p>
        </w:tc>
        <w:tc>
          <w:tcPr>
            <w:tcW w:w="1950" w:type="dxa"/>
            <w:vAlign w:val="center"/>
          </w:tcPr>
          <w:p>
            <w:pPr>
              <w:widowControl/>
              <w:jc w:val="center"/>
              <w:rPr>
                <w:rFonts w:ascii="仿宋" w:hAnsi="仿宋" w:eastAsia="仿宋" w:cs="仿宋"/>
                <w:b/>
                <w:color w:val="auto"/>
                <w:kern w:val="0"/>
                <w:szCs w:val="21"/>
              </w:rPr>
            </w:pPr>
            <w:r>
              <w:rPr>
                <w:rFonts w:hint="eastAsia" w:ascii="仿宋" w:hAnsi="仿宋" w:eastAsia="仿宋" w:cs="仿宋"/>
                <w:b/>
                <w:color w:val="auto"/>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2" w:type="dxa"/>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1</w:t>
            </w:r>
          </w:p>
        </w:tc>
        <w:tc>
          <w:tcPr>
            <w:tcW w:w="1861" w:type="dxa"/>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安全疏散指示灯</w:t>
            </w:r>
          </w:p>
        </w:tc>
        <w:tc>
          <w:tcPr>
            <w:tcW w:w="1591" w:type="dxa"/>
            <w:vAlign w:val="center"/>
          </w:tcPr>
          <w:p>
            <w:pPr>
              <w:jc w:val="center"/>
              <w:rPr>
                <w:rFonts w:ascii="仿宋" w:hAnsi="仿宋" w:eastAsia="仿宋" w:cs="Times New Roman"/>
                <w:color w:val="auto"/>
                <w:sz w:val="24"/>
                <w:szCs w:val="24"/>
              </w:rPr>
            </w:pPr>
          </w:p>
        </w:tc>
        <w:tc>
          <w:tcPr>
            <w:tcW w:w="1348" w:type="dxa"/>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600</w:t>
            </w:r>
          </w:p>
        </w:tc>
        <w:tc>
          <w:tcPr>
            <w:tcW w:w="1095" w:type="dxa"/>
            <w:vAlign w:val="center"/>
          </w:tcPr>
          <w:p>
            <w:pPr>
              <w:widowControl/>
              <w:jc w:val="center"/>
              <w:rPr>
                <w:rFonts w:ascii="仿宋" w:hAnsi="仿宋" w:eastAsia="仿宋" w:cs="仿宋"/>
                <w:b/>
                <w:color w:val="auto"/>
                <w:kern w:val="0"/>
                <w:szCs w:val="21"/>
              </w:rPr>
            </w:pPr>
          </w:p>
        </w:tc>
        <w:tc>
          <w:tcPr>
            <w:tcW w:w="1950" w:type="dxa"/>
            <w:vAlign w:val="center"/>
          </w:tcPr>
          <w:p>
            <w:pPr>
              <w:widowControl/>
              <w:jc w:val="center"/>
              <w:rPr>
                <w:rFonts w:ascii="仿宋" w:hAnsi="仿宋" w:eastAsia="仿宋" w:cs="仿宋"/>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2</w:t>
            </w:r>
          </w:p>
        </w:tc>
        <w:tc>
          <w:tcPr>
            <w:tcW w:w="1861" w:type="dxa"/>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安全疏散指示灯/应急照明灯</w:t>
            </w:r>
          </w:p>
        </w:tc>
        <w:tc>
          <w:tcPr>
            <w:tcW w:w="1591" w:type="dxa"/>
            <w:vAlign w:val="center"/>
          </w:tcPr>
          <w:p>
            <w:pPr>
              <w:jc w:val="center"/>
              <w:rPr>
                <w:rFonts w:ascii="仿宋" w:hAnsi="仿宋" w:eastAsia="仿宋" w:cs="Times New Roman"/>
                <w:color w:val="auto"/>
                <w:sz w:val="24"/>
                <w:szCs w:val="24"/>
              </w:rPr>
            </w:pPr>
          </w:p>
        </w:tc>
        <w:tc>
          <w:tcPr>
            <w:tcW w:w="1348" w:type="dxa"/>
            <w:vAlign w:val="center"/>
          </w:tcPr>
          <w:p>
            <w:pPr>
              <w:jc w:val="center"/>
              <w:rPr>
                <w:rFonts w:ascii="仿宋" w:hAnsi="仿宋" w:eastAsia="仿宋" w:cs="Times New Roman"/>
                <w:color w:val="auto"/>
                <w:sz w:val="24"/>
                <w:szCs w:val="24"/>
              </w:rPr>
            </w:pPr>
            <w:r>
              <w:rPr>
                <w:rFonts w:hint="eastAsia" w:ascii="仿宋" w:hAnsi="仿宋" w:eastAsia="仿宋" w:cs="Times New Roman"/>
                <w:color w:val="auto"/>
                <w:sz w:val="24"/>
                <w:szCs w:val="24"/>
              </w:rPr>
              <w:t>900</w:t>
            </w:r>
          </w:p>
        </w:tc>
        <w:tc>
          <w:tcPr>
            <w:tcW w:w="1095" w:type="dxa"/>
            <w:vAlign w:val="center"/>
          </w:tcPr>
          <w:p>
            <w:pPr>
              <w:widowControl/>
              <w:jc w:val="center"/>
              <w:rPr>
                <w:rFonts w:ascii="仿宋" w:hAnsi="仿宋" w:eastAsia="仿宋" w:cs="仿宋"/>
                <w:b/>
                <w:color w:val="auto"/>
                <w:kern w:val="0"/>
                <w:szCs w:val="21"/>
              </w:rPr>
            </w:pPr>
          </w:p>
        </w:tc>
        <w:tc>
          <w:tcPr>
            <w:tcW w:w="1950" w:type="dxa"/>
            <w:vAlign w:val="center"/>
          </w:tcPr>
          <w:p>
            <w:pPr>
              <w:widowControl/>
              <w:jc w:val="center"/>
              <w:rPr>
                <w:rFonts w:ascii="仿宋" w:hAnsi="仿宋" w:eastAsia="仿宋" w:cs="仿宋"/>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63" w:type="dxa"/>
            <w:gridSpan w:val="2"/>
            <w:vAlign w:val="center"/>
          </w:tcPr>
          <w:p>
            <w:pPr>
              <w:jc w:val="center"/>
              <w:rPr>
                <w:rFonts w:ascii="仿宋" w:hAnsi="仿宋" w:eastAsia="仿宋" w:cs="Times New Roman"/>
                <w:color w:val="auto"/>
                <w:sz w:val="24"/>
                <w:szCs w:val="24"/>
              </w:rPr>
            </w:pPr>
            <w:r>
              <w:rPr>
                <w:rFonts w:hint="eastAsia" w:ascii="仿宋" w:hAnsi="仿宋" w:eastAsia="仿宋" w:cs="仿宋"/>
                <w:b/>
                <w:bCs/>
                <w:color w:val="auto"/>
                <w:sz w:val="24"/>
                <w:szCs w:val="24"/>
                <w:shd w:val="clear" w:color="auto" w:fill="FFFFFF"/>
              </w:rPr>
              <w:t>合计</w:t>
            </w:r>
          </w:p>
        </w:tc>
        <w:tc>
          <w:tcPr>
            <w:tcW w:w="5984" w:type="dxa"/>
            <w:gridSpan w:val="4"/>
            <w:vAlign w:val="center"/>
          </w:tcPr>
          <w:p>
            <w:pPr>
              <w:widowControl/>
              <w:jc w:val="center"/>
              <w:rPr>
                <w:rFonts w:ascii="仿宋" w:hAnsi="仿宋" w:eastAsia="仿宋" w:cs="仿宋"/>
                <w:b/>
                <w:color w:val="auto"/>
                <w:kern w:val="0"/>
                <w:szCs w:val="21"/>
              </w:rPr>
            </w:pPr>
            <w:r>
              <w:rPr>
                <w:rFonts w:hint="eastAsia" w:ascii="仿宋" w:hAnsi="仿宋" w:eastAsia="仿宋" w:cs="宋体"/>
                <w:color w:val="auto"/>
                <w:kern w:val="0"/>
                <w:szCs w:val="21"/>
              </w:rPr>
              <w:t>大写</w:t>
            </w:r>
            <w:r>
              <w:rPr>
                <w:rFonts w:hint="eastAsia" w:ascii="仿宋" w:hAnsi="仿宋" w:eastAsia="仿宋" w:cs="宋体"/>
                <w:color w:val="auto"/>
                <w:kern w:val="0"/>
                <w:szCs w:val="21"/>
                <w:u w:val="single"/>
              </w:rPr>
              <w:t xml:space="preserve">                      </w:t>
            </w:r>
            <w:r>
              <w:rPr>
                <w:rFonts w:hint="eastAsia" w:ascii="仿宋" w:hAnsi="仿宋" w:eastAsia="仿宋" w:cs="宋体"/>
                <w:color w:val="auto"/>
                <w:kern w:val="0"/>
                <w:szCs w:val="21"/>
              </w:rPr>
              <w:t xml:space="preserve"> 元整（¥                元）</w:t>
            </w:r>
          </w:p>
        </w:tc>
      </w:tr>
    </w:tbl>
    <w:p>
      <w:pPr>
        <w:jc w:val="left"/>
        <w:rPr>
          <w:rFonts w:ascii="仿宋" w:hAnsi="仿宋" w:eastAsia="仿宋"/>
          <w:b/>
          <w:color w:val="auto"/>
          <w:sz w:val="24"/>
          <w:szCs w:val="24"/>
        </w:rPr>
      </w:pP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授权代表签字：                      投标人（公章）：</w:t>
      </w:r>
    </w:p>
    <w:p>
      <w:pPr>
        <w:rPr>
          <w:rFonts w:ascii="仿宋" w:hAnsi="仿宋" w:eastAsia="仿宋"/>
          <w:color w:val="auto"/>
          <w:sz w:val="24"/>
        </w:rPr>
      </w:pPr>
      <w:r>
        <w:rPr>
          <w:rFonts w:hint="eastAsia" w:ascii="仿宋" w:hAnsi="仿宋" w:eastAsia="仿宋"/>
          <w:color w:val="auto"/>
          <w:sz w:val="24"/>
        </w:rPr>
        <w:t>日期：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377F"/>
    <w:multiLevelType w:val="multilevel"/>
    <w:tmpl w:val="437C377F"/>
    <w:lvl w:ilvl="0" w:tentative="0">
      <w:start w:val="1"/>
      <w:numFmt w:val="decimal"/>
      <w:lvlText w:val="%1."/>
      <w:lvlJc w:val="left"/>
      <w:pPr>
        <w:ind w:left="828" w:hanging="360"/>
      </w:pPr>
      <w:rPr>
        <w:rFonts w:hint="default"/>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A70E8"/>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56A12"/>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45BEA"/>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954CC"/>
    <w:rsid w:val="00FA7F94"/>
    <w:rsid w:val="00FB70B7"/>
    <w:rsid w:val="00FC04CE"/>
    <w:rsid w:val="00FD1408"/>
    <w:rsid w:val="00FE190A"/>
    <w:rsid w:val="00FF1BCE"/>
    <w:rsid w:val="00FF5869"/>
    <w:rsid w:val="0C7231D3"/>
    <w:rsid w:val="0DF12A0C"/>
    <w:rsid w:val="0F1F6C10"/>
    <w:rsid w:val="193123E1"/>
    <w:rsid w:val="261E5BD6"/>
    <w:rsid w:val="2D342E7E"/>
    <w:rsid w:val="470D29FD"/>
    <w:rsid w:val="491A430A"/>
    <w:rsid w:val="4CCE6F95"/>
    <w:rsid w:val="5C7F41C3"/>
    <w:rsid w:val="6628674B"/>
    <w:rsid w:val="6678268C"/>
    <w:rsid w:val="67C00717"/>
    <w:rsid w:val="69924E5D"/>
    <w:rsid w:val="7E49314C"/>
    <w:rsid w:val="7F03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rFonts w:ascii="宋体" w:hAnsi="宋体"/>
      <w:sz w:val="28"/>
      <w:szCs w:val="24"/>
    </w:rPr>
  </w:style>
  <w:style w:type="paragraph" w:styleId="3">
    <w:name w:val="Plain Text"/>
    <w:basedOn w:val="1"/>
    <w:link w:val="19"/>
    <w:qFormat/>
    <w:uiPriority w:val="0"/>
    <w:pPr>
      <w:spacing w:beforeLines="50" w:afterLines="50" w:line="400" w:lineRule="atLeast"/>
    </w:pPr>
    <w:rPr>
      <w:rFonts w:ascii="宋体" w:hAnsi="Courier New"/>
      <w:sz w:val="24"/>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12"/>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semiHidden/>
    <w:unhideWhenUsed/>
    <w:uiPriority w:val="99"/>
    <w:rPr>
      <w:color w:val="0000FF"/>
      <w:u w:val="single"/>
    </w:rPr>
  </w:style>
  <w:style w:type="character" w:customStyle="1" w:styleId="12">
    <w:name w:val="正文文本缩进 2 Char"/>
    <w:basedOn w:val="10"/>
    <w:link w:val="5"/>
    <w:qFormat/>
    <w:uiPriority w:val="0"/>
    <w:rPr>
      <w:rFonts w:ascii="Times New Roman" w:hAnsi="Times New Roman" w:eastAsia="宋体" w:cs="Times New Roman"/>
      <w:sz w:val="28"/>
      <w:szCs w:val="24"/>
    </w:rPr>
  </w:style>
  <w:style w:type="paragraph" w:styleId="13">
    <w:name w:val="List Paragraph"/>
    <w:basedOn w:val="1"/>
    <w:qFormat/>
    <w:uiPriority w:val="1"/>
    <w:pPr>
      <w:ind w:firstLine="420" w:firstLineChars="200"/>
    </w:pPr>
  </w:style>
  <w:style w:type="paragraph" w:customStyle="1" w:styleId="14">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5">
    <w:name w:val="页眉 Char"/>
    <w:basedOn w:val="10"/>
    <w:link w:val="8"/>
    <w:semiHidden/>
    <w:qFormat/>
    <w:uiPriority w:val="99"/>
    <w:rPr>
      <w:sz w:val="18"/>
      <w:szCs w:val="18"/>
    </w:rPr>
  </w:style>
  <w:style w:type="character" w:customStyle="1" w:styleId="16">
    <w:name w:val="页脚 Char"/>
    <w:basedOn w:val="10"/>
    <w:link w:val="7"/>
    <w:qFormat/>
    <w:uiPriority w:val="99"/>
    <w:rPr>
      <w:sz w:val="18"/>
      <w:szCs w:val="18"/>
    </w:rPr>
  </w:style>
  <w:style w:type="character" w:customStyle="1" w:styleId="17">
    <w:name w:val="日期 Char"/>
    <w:basedOn w:val="10"/>
    <w:link w:val="4"/>
    <w:semiHidden/>
    <w:qFormat/>
    <w:uiPriority w:val="99"/>
  </w:style>
  <w:style w:type="character" w:customStyle="1" w:styleId="18">
    <w:name w:val="纯文本 Char"/>
    <w:basedOn w:val="10"/>
    <w:link w:val="3"/>
    <w:qFormat/>
    <w:uiPriority w:val="0"/>
    <w:rPr>
      <w:rFonts w:ascii="宋体" w:hAnsi="Courier New"/>
      <w:sz w:val="24"/>
      <w:szCs w:val="24"/>
    </w:rPr>
  </w:style>
  <w:style w:type="character" w:customStyle="1" w:styleId="19">
    <w:name w:val="纯文本 Char1"/>
    <w:basedOn w:val="10"/>
    <w:link w:val="3"/>
    <w:semiHidden/>
    <w:qFormat/>
    <w:uiPriority w:val="99"/>
    <w:rPr>
      <w:rFonts w:ascii="宋体" w:hAnsi="Courier New" w:eastAsia="宋体" w:cs="Courier New"/>
      <w:szCs w:val="21"/>
    </w:rPr>
  </w:style>
  <w:style w:type="paragraph" w:customStyle="1" w:styleId="20">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1">
    <w:name w:val="正文文本 Char"/>
    <w:link w:val="2"/>
    <w:qFormat/>
    <w:uiPriority w:val="0"/>
    <w:rPr>
      <w:rFonts w:ascii="宋体" w:hAnsi="宋体"/>
      <w:sz w:val="28"/>
      <w:szCs w:val="24"/>
    </w:rPr>
  </w:style>
  <w:style w:type="character" w:customStyle="1" w:styleId="22">
    <w:name w:val="正文文本 Char1"/>
    <w:basedOn w:val="10"/>
    <w:link w:val="2"/>
    <w:semiHidden/>
    <w:qFormat/>
    <w:uiPriority w:val="99"/>
  </w:style>
  <w:style w:type="paragraph" w:customStyle="1" w:styleId="23">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4">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532</Words>
  <Characters>3034</Characters>
  <Lines>25</Lines>
  <Paragraphs>7</Paragraphs>
  <TotalTime>22</TotalTime>
  <ScaleCrop>false</ScaleCrop>
  <LinksUpToDate>false</LinksUpToDate>
  <CharactersWithSpaces>3559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2020-09-24T00:20:25Z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