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湖州师范学院体育学院专业认证实验室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文化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建设</w:t>
      </w:r>
    </w:p>
    <w:p>
      <w:pPr>
        <w:jc w:val="center"/>
        <w:rPr>
          <w:rFonts w:asciiTheme="majorEastAsia" w:hAnsiTheme="majorEastAsia" w:eastAsiaTheme="majorEastAsia"/>
          <w:b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采购项目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竞争性谈判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文件</w:t>
      </w:r>
    </w:p>
    <w:p>
      <w:pPr>
        <w:ind w:firstLine="472" w:firstLineChars="196"/>
        <w:jc w:val="left"/>
        <w:rPr>
          <w:rFonts w:ascii="仿宋" w:hAnsi="仿宋" w:eastAsia="仿宋" w:cs="Times New Roman"/>
          <w:b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一、采购项目名称及货物清单及要求：</w:t>
      </w:r>
    </w:p>
    <w:p>
      <w:pPr>
        <w:ind w:firstLine="480" w:firstLineChars="200"/>
        <w:jc w:val="left"/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项目名称：湖州师范学院体育学院专业认证实验室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文化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建设采购项目</w:t>
      </w:r>
    </w:p>
    <w:p>
      <w:pPr>
        <w:ind w:firstLine="480" w:firstLineChars="200"/>
        <w:jc w:val="left"/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采购项目编号：</w:t>
      </w:r>
      <w:r>
        <w:rPr>
          <w:rFonts w:hint="eastAsia" w:ascii="仿宋" w:hAnsi="仿宋" w:eastAsia="仿宋"/>
          <w:color w:val="auto"/>
          <w:sz w:val="24"/>
          <w:szCs w:val="24"/>
        </w:rPr>
        <w:t>XZ2021-082</w:t>
      </w:r>
    </w:p>
    <w:p>
      <w:pPr>
        <w:ind w:firstLine="480" w:firstLineChars="200"/>
        <w:jc w:val="left"/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采购组织类型：分散采购自行组织</w:t>
      </w:r>
    </w:p>
    <w:p>
      <w:pPr>
        <w:ind w:firstLine="480" w:firstLineChars="200"/>
        <w:jc w:val="left"/>
        <w:rPr>
          <w:rFonts w:hint="default" w:ascii="仿宋" w:hAnsi="仿宋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采购方式：校内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竞争性谈判</w:t>
      </w:r>
    </w:p>
    <w:p>
      <w:pPr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采购预算：</w:t>
      </w:r>
      <w:r>
        <w:rPr>
          <w:rFonts w:hint="eastAsia" w:ascii="仿宋" w:hAnsi="仿宋" w:eastAsia="仿宋"/>
          <w:color w:val="auto"/>
          <w:sz w:val="24"/>
        </w:rPr>
        <w:t>人民币玖万柒仟壹佰肆拾元（￥97140元）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采购需求及</w:t>
      </w:r>
      <w:r>
        <w:rPr>
          <w:rFonts w:hint="eastAsia" w:ascii="仿宋" w:hAnsi="仿宋" w:eastAsia="仿宋"/>
          <w:color w:val="auto"/>
          <w:sz w:val="24"/>
        </w:rPr>
        <w:t>采购清单：</w:t>
      </w:r>
    </w:p>
    <w:p>
      <w:pPr>
        <w:ind w:firstLine="480" w:firstLineChars="200"/>
        <w:contextualSpacing/>
        <w:jc w:val="left"/>
        <w:rPr>
          <w:rFonts w:hint="eastAsia" w:ascii="仿宋" w:hAnsi="仿宋" w:eastAsia="仿宋" w:cs="Times New Roman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</w:rPr>
        <w:t>实验室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文化建设</w:t>
      </w:r>
      <w:r>
        <w:rPr>
          <w:rFonts w:hint="eastAsia" w:ascii="仿宋" w:hAnsi="仿宋" w:eastAsia="仿宋" w:cs="Times New Roman"/>
          <w:color w:val="auto"/>
          <w:sz w:val="24"/>
        </w:rPr>
        <w:t>相关内容（包含实施制作、内容制作及布展集成等工作）。</w:t>
      </w:r>
    </w:p>
    <w:p>
      <w:pPr>
        <w:ind w:firstLine="480" w:firstLineChars="200"/>
        <w:contextualSpacing/>
        <w:jc w:val="left"/>
        <w:rPr>
          <w:rFonts w:ascii="仿宋" w:hAnsi="仿宋" w:eastAsia="仿宋" w:cs="Times New Roman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  <w:sz w:val="24"/>
        </w:rPr>
        <w:t>中标单位需对中标方案进行深化设计和布展实施方案设计工作，并提交设计图纸，设计图纸经采购人确认后，方可进行布展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实施</w:t>
      </w:r>
      <w:r>
        <w:rPr>
          <w:rFonts w:hint="eastAsia" w:ascii="仿宋" w:hAnsi="仿宋" w:eastAsia="仿宋" w:cs="Times New Roman"/>
          <w:color w:val="auto"/>
          <w:sz w:val="24"/>
        </w:rPr>
        <w:t>；</w:t>
      </w:r>
    </w:p>
    <w:p>
      <w:pPr>
        <w:ind w:firstLine="480" w:firstLineChars="200"/>
        <w:contextualSpacing/>
        <w:jc w:val="left"/>
        <w:rPr>
          <w:rFonts w:ascii="仿宋" w:hAnsi="仿宋" w:eastAsia="仿宋" w:cs="Times New Roman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24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z w:val="24"/>
        </w:rPr>
        <w:t>在项目实施过程中，必须服从采购人及相关部门的监督、管理和指挥，确保展馆布置实施的安全；</w:t>
      </w:r>
    </w:p>
    <w:p>
      <w:pPr>
        <w:ind w:firstLine="480" w:firstLineChars="200"/>
        <w:contextualSpacing/>
        <w:jc w:val="left"/>
        <w:rPr>
          <w:rFonts w:ascii="仿宋" w:hAnsi="仿宋" w:eastAsia="仿宋" w:cs="Times New Roman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24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z w:val="24"/>
        </w:rPr>
        <w:t>项目移交工作中，中标单位须向采购人进行全面的技术交底，包括以下但不限于使用及维护培训、易损及应急材料配备等。</w:t>
      </w:r>
    </w:p>
    <w:tbl>
      <w:tblPr>
        <w:tblStyle w:val="10"/>
        <w:tblpPr w:leftFromText="180" w:rightFromText="180" w:vertAnchor="text" w:horzAnchor="page" w:tblpX="995" w:tblpY="410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66"/>
        <w:gridCol w:w="1938"/>
        <w:gridCol w:w="1909"/>
        <w:gridCol w:w="831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48" w:type="dxa"/>
            <w:gridSpan w:val="6"/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一楼文化布置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导视牌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铁艺烤漆导视牌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1.65*1.25m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79375</wp:posOffset>
                  </wp:positionV>
                  <wp:extent cx="1981200" cy="1028700"/>
                  <wp:effectExtent l="0" t="0" r="0" b="0"/>
                  <wp:wrapNone/>
                  <wp:docPr id="2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48" w:type="dxa"/>
            <w:gridSpan w:val="6"/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二楼文化布置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体育氛围画面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墙面基础平整+油画布过uv+2cmPVC雕刻+8mm亚克力过UV雕刻字+亚克力烤漆文字上墙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4.6*1.84m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3117215</wp:posOffset>
                  </wp:positionH>
                  <wp:positionV relativeFrom="paragraph">
                    <wp:posOffset>-2599690</wp:posOffset>
                  </wp:positionV>
                  <wp:extent cx="1694815" cy="1172845"/>
                  <wp:effectExtent l="0" t="0" r="635" b="8255"/>
                  <wp:wrapNone/>
                  <wp:docPr id="8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90445" cy="1657350"/>
                  <wp:effectExtent l="0" t="0" r="14605" b="0"/>
                  <wp:wrapNone/>
                  <wp:docPr id="2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44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>+</w:t>
            </w:r>
            <w:r>
              <w:rPr>
                <w:rStyle w:val="26"/>
                <w:color w:val="auto"/>
                <w:lang w:val="en-US" w:eastAsia="zh-CN" w:bidi="ar"/>
              </w:rPr>
              <w:t>课件相关信息介绍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墙面基础平整+线路改造+油画布过uv+2cmPVC雕刻+8mm亚克力过UV雕刻字+亚克力烤漆文字上墙+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4*4m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二楼右侧下楼梯口里面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Style w:val="26"/>
                <w:color w:val="auto"/>
                <w:lang w:val="en-US" w:eastAsia="zh-CN" w:bidi="ar"/>
              </w:rPr>
              <w:t>个墙面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软膜灯箱+灯箱布</w:t>
            </w: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学院简介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墙面基础平整+油画布过uv+2cmPVC雕刻+8mm亚克力过UV雕刻字+亚克力烤漆文字上墙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6x3m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二楼右侧下楼梯口处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制度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8mm亚克力背打uv+广告钉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90x60cm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13970</wp:posOffset>
                  </wp:positionV>
                  <wp:extent cx="857250" cy="1314450"/>
                  <wp:effectExtent l="0" t="0" r="0" b="0"/>
                  <wp:wrapNone/>
                  <wp:docPr id="2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学生荣誉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墙面基础平整+油画布过uv+2cmPVC雕刻+8mm亚克力过UV雕刻字+亚克力烤漆文字+铁皮烤漆造型上墙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5x3m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二楼职工教师办公室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48" w:type="dxa"/>
            <w:gridSpan w:val="6"/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三楼文化布置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学生风采文化墙（1）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墙面基础平整+铁皮烤漆折边+pvc底板+8mm亚克力过UV雕刻字+亚克力烤漆文字上墙+PVC可磁吸可更换内容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18*4.3m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595630</wp:posOffset>
                  </wp:positionV>
                  <wp:extent cx="2397760" cy="866140"/>
                  <wp:effectExtent l="0" t="0" r="2540" b="10160"/>
                  <wp:wrapNone/>
                  <wp:docPr id="2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学生风采文化墙（2）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墙面基础平整+铁皮烤漆折边+pvc底板+8mm亚克力过UV雕刻字+亚克力烤漆文字上墙+PVC可磁吸可更换内容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10*4.3m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702310</wp:posOffset>
                  </wp:positionV>
                  <wp:extent cx="2336165" cy="848360"/>
                  <wp:effectExtent l="0" t="0" r="6985" b="8890"/>
                  <wp:wrapNone/>
                  <wp:docPr id="2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体育背景画面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墙面基础平整+油画布过UV喷画+立体2cmPVC雕刻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8*6.3m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71120</wp:posOffset>
                  </wp:positionV>
                  <wp:extent cx="1648460" cy="895350"/>
                  <wp:effectExtent l="0" t="0" r="8890" b="0"/>
                  <wp:wrapNone/>
                  <wp:docPr id="2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乒乓球门外墙面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墙面基础平整+2cmPVC雕刻+8mm亚克力过UV雕刻字+亚克力烤漆文字上墙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3.2*3.8m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405130</wp:posOffset>
                  </wp:positionV>
                  <wp:extent cx="2114550" cy="990600"/>
                  <wp:effectExtent l="0" t="0" r="0" b="0"/>
                  <wp:wrapNone/>
                  <wp:docPr id="2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修读区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板材+油漆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总长7.5m，台面高度90cm，台面宽度45cm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2侧立柱涂环保涂料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高8m，直径67cm的圆柱体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三楼靠窗2根柱子换色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48" w:type="dxa"/>
            <w:gridSpan w:val="6"/>
            <w:shd w:val="clear" w:color="auto" w:fill="A5A5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东校区实验室文化布置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造型墙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墙面基础平整+油画布过uv+1cmPVC雕刻+8mm亚克力过UV雕刻字+亚克力烤漆文字+铁皮烤漆造型上墙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5x2.5m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</w:tr>
    </w:tbl>
    <w:p>
      <w:pPr>
        <w:ind w:firstLine="480" w:firstLineChars="200"/>
        <w:contextualSpacing/>
        <w:jc w:val="left"/>
        <w:rPr>
          <w:rFonts w:ascii="仿宋" w:hAnsi="仿宋" w:eastAsia="仿宋" w:cs="Times New Roman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sz w:val="24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按</w:t>
      </w:r>
      <w:r>
        <w:rPr>
          <w:rFonts w:hint="eastAsia" w:ascii="仿宋" w:hAnsi="仿宋" w:eastAsia="仿宋" w:cs="Times New Roman"/>
          <w:color w:val="auto"/>
          <w:sz w:val="24"/>
          <w:u w:val="none"/>
          <w:lang w:val="en-US" w:eastAsia="zh-CN"/>
        </w:rPr>
        <w:t>甲方</w:t>
      </w:r>
      <w:r>
        <w:rPr>
          <w:rFonts w:hint="eastAsia" w:ascii="仿宋" w:hAnsi="仿宋" w:eastAsia="仿宋" w:cs="Times New Roman"/>
          <w:color w:val="auto"/>
          <w:sz w:val="24"/>
          <w:u w:val="none"/>
        </w:rPr>
        <w:t>设计方案</w:t>
      </w:r>
      <w:r>
        <w:rPr>
          <w:rFonts w:hint="eastAsia" w:ascii="仿宋" w:hAnsi="仿宋" w:eastAsia="仿宋" w:cs="Times New Roman"/>
          <w:color w:val="auto"/>
          <w:sz w:val="24"/>
          <w:u w:val="none"/>
          <w:lang w:val="en-US" w:eastAsia="zh-CN"/>
        </w:rPr>
        <w:t>进行制作，</w:t>
      </w:r>
      <w:r>
        <w:rPr>
          <w:rFonts w:hint="eastAsia" w:ascii="仿宋" w:hAnsi="仿宋" w:eastAsia="仿宋" w:cs="Times New Roman"/>
          <w:color w:val="auto"/>
          <w:sz w:val="24"/>
        </w:rPr>
        <w:t>不得改变原建筑物承重结构；</w:t>
      </w:r>
    </w:p>
    <w:p>
      <w:pPr>
        <w:ind w:firstLine="480" w:firstLineChars="200"/>
        <w:contextualSpacing/>
        <w:jc w:val="left"/>
        <w:rPr>
          <w:rFonts w:ascii="仿宋" w:hAnsi="仿宋" w:eastAsia="仿宋" w:cs="Times New Roman"/>
          <w:color w:val="auto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（5）</w:t>
      </w:r>
      <w:r>
        <w:rPr>
          <w:rFonts w:hint="eastAsia" w:ascii="仿宋" w:hAnsi="仿宋" w:eastAsia="仿宋" w:cs="Times New Roman"/>
          <w:color w:val="auto"/>
          <w:sz w:val="24"/>
        </w:rPr>
        <w:t>合理选材，用材和手段必须符合环保消防、安全节能的要求，辅助陈列品、展柜、模型等要求工艺精良，艺术水准高。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（6）</w:t>
      </w:r>
      <w:r>
        <w:rPr>
          <w:rFonts w:hint="eastAsia" w:ascii="仿宋" w:hAnsi="仿宋" w:eastAsia="仿宋"/>
          <w:color w:val="auto"/>
          <w:sz w:val="24"/>
        </w:rPr>
        <w:t>采购清单</w:t>
      </w:r>
    </w:p>
    <w:p>
      <w:pPr>
        <w:ind w:firstLine="482" w:firstLineChars="200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注：布展设计必须符合消防、装修等安全规范；布展制作材料必须符合E1级环保标准；布展电气材料及元器件必须符合CCC认证。</w:t>
      </w:r>
    </w:p>
    <w:p>
      <w:pPr>
        <w:ind w:firstLine="472" w:firstLineChars="196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二、投标文件要求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投标人的投标文件中应包含以下内容</w:t>
      </w:r>
      <w:r>
        <w:rPr>
          <w:rFonts w:hint="eastAsia" w:ascii="仿宋" w:hAnsi="仿宋" w:eastAsia="仿宋"/>
          <w:color w:val="auto"/>
          <w:sz w:val="24"/>
        </w:rPr>
        <w:t>（</w:t>
      </w:r>
      <w:r>
        <w:rPr>
          <w:rFonts w:hint="eastAsia" w:ascii="仿宋" w:hAnsi="仿宋" w:eastAsia="仿宋"/>
          <w:color w:val="auto"/>
          <w:sz w:val="24"/>
        </w:rPr>
        <w:t>投标文件密封，一式两份，一正一副，胶装成册。所有证件均须真实、有效，复印件均须加盖公章，缺少以下任意一项内容即作无效标处理</w:t>
      </w:r>
      <w:r>
        <w:rPr>
          <w:rFonts w:hint="eastAsia" w:ascii="仿宋" w:hAnsi="仿宋" w:eastAsia="仿宋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</w:rPr>
        <w:t>：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投标报价清单(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含设计、施工、调试、验收、材料、人工、安全、运输、税金等所涉及本项目的一切费用。投标报价高于采购预算的，则该报价为无效报价。</w:t>
      </w:r>
      <w:r>
        <w:rPr>
          <w:rFonts w:hint="eastAsia" w:ascii="仿宋" w:hAnsi="仿宋" w:eastAsia="仿宋"/>
          <w:color w:val="auto"/>
          <w:sz w:val="24"/>
          <w:szCs w:val="24"/>
        </w:rPr>
        <w:t>报价以人民币计，并以大写为准)。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</w:rPr>
        <w:t>.有效的五证合一营业执照副本复印件；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24"/>
        </w:rPr>
        <w:t>.投标人开户银行、户名、账号；</w:t>
      </w:r>
    </w:p>
    <w:p>
      <w:pPr>
        <w:ind w:firstLine="480" w:firstLineChars="200"/>
        <w:jc w:val="left"/>
        <w:rPr>
          <w:rFonts w:hint="default" w:ascii="仿宋" w:hAnsi="仿宋" w:eastAsia="仿宋" w:cs="仿宋_GB2312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4"/>
          <w:szCs w:val="24"/>
        </w:rPr>
        <w:t>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投标代表需提供在本单位近三个月缴纳社保的凭证。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  <w:szCs w:val="24"/>
        </w:rPr>
        <w:t>投标人安全服务方案及承诺</w:t>
      </w:r>
      <w:r>
        <w:rPr>
          <w:rFonts w:hint="eastAsia" w:ascii="仿宋" w:hAnsi="仿宋" w:eastAsia="仿宋"/>
          <w:bCs/>
          <w:color w:val="auto"/>
          <w:sz w:val="24"/>
        </w:rPr>
        <w:t>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szCs w:val="24"/>
        </w:rPr>
        <w:t>.投标人技术方案及实施方案；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4"/>
          <w:szCs w:val="24"/>
        </w:rPr>
        <w:t>.投标人项目团队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组成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24"/>
          <w:szCs w:val="24"/>
        </w:rPr>
        <w:t>名单；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4"/>
          <w:szCs w:val="24"/>
        </w:rPr>
        <w:t>.投标人</w:t>
      </w:r>
      <w:r>
        <w:rPr>
          <w:rFonts w:hint="eastAsia" w:ascii="仿宋" w:hAnsi="仿宋" w:eastAsia="仿宋"/>
          <w:color w:val="auto"/>
          <w:sz w:val="24"/>
        </w:rPr>
        <w:t>2017年1月1日至今的</w:t>
      </w:r>
      <w:r>
        <w:rPr>
          <w:rFonts w:hint="eastAsia" w:ascii="仿宋" w:hAnsi="仿宋" w:eastAsia="仿宋"/>
          <w:bCs/>
          <w:color w:val="auto"/>
          <w:sz w:val="24"/>
        </w:rPr>
        <w:t>同类项目业绩证明材料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至少1个</w:t>
      </w:r>
      <w:r>
        <w:rPr>
          <w:rFonts w:hint="eastAsia" w:ascii="仿宋" w:hAnsi="仿宋" w:eastAsia="仿宋"/>
          <w:bCs/>
          <w:color w:val="auto"/>
          <w:sz w:val="24"/>
        </w:rPr>
        <w:t>（业绩汇总表、合同复印件）</w:t>
      </w:r>
      <w:r>
        <w:rPr>
          <w:rFonts w:hint="eastAsia" w:ascii="仿宋" w:hAnsi="仿宋" w:eastAsia="仿宋"/>
          <w:color w:val="auto"/>
          <w:sz w:val="24"/>
        </w:rPr>
        <w:t>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  <w:szCs w:val="24"/>
        </w:rPr>
        <w:t>.其他相关证明材料</w:t>
      </w:r>
      <w:r>
        <w:rPr>
          <w:rFonts w:hint="eastAsia" w:ascii="仿宋" w:hAnsi="仿宋" w:eastAsia="仿宋" w:cs="仿宋_GB2312"/>
          <w:color w:val="auto"/>
          <w:sz w:val="24"/>
        </w:rPr>
        <w:t>（</w:t>
      </w:r>
      <w:r>
        <w:rPr>
          <w:rFonts w:hint="eastAsia" w:ascii="仿宋" w:hAnsi="仿宋" w:eastAsia="仿宋"/>
          <w:color w:val="auto"/>
          <w:sz w:val="24"/>
        </w:rPr>
        <w:t>采购文件要求提供</w:t>
      </w:r>
      <w:r>
        <w:rPr>
          <w:rFonts w:hint="eastAsia" w:ascii="仿宋" w:hAnsi="仿宋" w:eastAsia="仿宋" w:cs="仿宋_GB2312"/>
          <w:color w:val="auto"/>
          <w:sz w:val="24"/>
        </w:rPr>
        <w:t>的证明材料、投标人认为需要提交的材料等）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提供自采购公告发布之日起至开标截止时间止的“信用中国”网站（www.creditchina.gov.cn）、中国政府采购网（www.ccgp.gov.cn）、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“浙江政府采购网”（www.zjzfcg.gov.cn）</w:t>
      </w:r>
      <w:r>
        <w:rPr>
          <w:rFonts w:hint="eastAsia" w:ascii="仿宋" w:hAnsi="仿宋" w:eastAsia="仿宋"/>
          <w:color w:val="auto"/>
          <w:sz w:val="24"/>
        </w:rPr>
        <w:t>投标人信用查询网页截图（以开标当日采购人核实的查询结果为准）。（提供任何2个查询网页截图即可）</w:t>
      </w:r>
    </w:p>
    <w:p>
      <w:pPr>
        <w:ind w:firstLine="480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4"/>
        </w:rPr>
        <w:t>.提供</w:t>
      </w:r>
      <w:r>
        <w:rPr>
          <w:rFonts w:hint="eastAsia" w:ascii="仿宋" w:hAnsi="仿宋" w:eastAsia="仿宋"/>
          <w:color w:val="auto"/>
          <w:sz w:val="24"/>
        </w:rPr>
        <w:t>投标人未在行政处罚期内和未被列入经营异常名录的</w:t>
      </w:r>
      <w:r>
        <w:rPr>
          <w:rFonts w:hint="eastAsia" w:ascii="仿宋" w:hAnsi="仿宋" w:eastAsia="仿宋"/>
          <w:color w:val="auto"/>
          <w:sz w:val="24"/>
        </w:rPr>
        <w:t>查询网页截图</w:t>
      </w:r>
      <w:r>
        <w:rPr>
          <w:rFonts w:hint="eastAsia" w:ascii="仿宋" w:hAnsi="仿宋" w:eastAsia="仿宋"/>
          <w:color w:val="auto"/>
          <w:sz w:val="24"/>
        </w:rPr>
        <w:t>（国家企业信用信息公示系统：</w:t>
      </w:r>
      <w:r>
        <w:rPr>
          <w:rFonts w:hint="eastAsia" w:ascii="仿宋" w:hAnsi="仿宋" w:eastAsia="仿宋" w:cs="仿宋_GB2312"/>
          <w:color w:val="auto"/>
          <w:sz w:val="24"/>
        </w:rPr>
        <w:t>www.gsxt.gov.cn</w:t>
      </w:r>
      <w:r>
        <w:rPr>
          <w:rFonts w:hint="eastAsia" w:ascii="仿宋" w:hAnsi="仿宋" w:eastAsia="仿宋"/>
          <w:color w:val="auto"/>
          <w:sz w:val="24"/>
        </w:rPr>
        <w:t>）。</w:t>
      </w:r>
    </w:p>
    <w:p>
      <w:pPr>
        <w:ind w:firstLine="472" w:firstLineChars="196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三、投标文件递交及开标时间、地点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1.开标时间：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202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日下午14：30</w:t>
      </w:r>
      <w:r>
        <w:rPr>
          <w:rFonts w:hint="eastAsia" w:ascii="仿宋" w:hAnsi="仿宋" w:eastAsia="仿宋"/>
          <w:color w:val="auto"/>
          <w:sz w:val="24"/>
          <w:szCs w:val="24"/>
        </w:rPr>
        <w:t>（投标人不参加开标会议或迟到视为自动放弃）；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2.开标地点：湖州市二环东路759号湖州师范学院东校区明达楼202室；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3.联系人：徐老师；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4.电话：0572-2322188。</w:t>
      </w:r>
    </w:p>
    <w:p>
      <w:pPr>
        <w:ind w:firstLine="472" w:firstLineChars="196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四、中标办法</w:t>
      </w:r>
    </w:p>
    <w:p>
      <w:pPr>
        <w:ind w:firstLine="480" w:firstLineChars="200"/>
        <w:contextualSpacing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</w:rPr>
        <w:t>本项目</w:t>
      </w:r>
      <w:r>
        <w:rPr>
          <w:rFonts w:hint="eastAsia" w:ascii="仿宋_GB2312" w:hAnsi="宋体" w:eastAsia="仿宋_GB2312"/>
          <w:color w:val="auto"/>
          <w:sz w:val="24"/>
        </w:rPr>
        <w:t>根据现场二次报价、产品响应、售后服务承诺等确定拟中标单位。</w:t>
      </w:r>
    </w:p>
    <w:p>
      <w:pPr>
        <w:ind w:firstLine="472" w:firstLineChars="196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、履约保证金</w:t>
      </w:r>
    </w:p>
    <w:p>
      <w:pPr>
        <w:ind w:firstLine="480" w:firstLineChars="200"/>
        <w:contextualSpacing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color w:val="auto"/>
          <w:sz w:val="24"/>
        </w:rPr>
        <w:t>本项目的履约保证金为合同价的</w:t>
      </w:r>
      <w:r>
        <w:rPr>
          <w:rFonts w:hint="eastAsia" w:ascii="仿宋" w:hAnsi="仿宋" w:eastAsia="仿宋" w:cs="Times New Roman"/>
          <w:b/>
          <w:bCs/>
          <w:color w:val="auto"/>
          <w:sz w:val="24"/>
        </w:rPr>
        <w:t>5%</w:t>
      </w:r>
      <w:r>
        <w:rPr>
          <w:rFonts w:hint="eastAsia" w:ascii="仿宋" w:hAnsi="仿宋" w:eastAsia="仿宋" w:cs="Times New Roman"/>
          <w:color w:val="auto"/>
          <w:sz w:val="24"/>
        </w:rPr>
        <w:t>；履约保证金形式为：现金或银行、保险公司出具的保函；中标人应根据招标人要求汇入招标人指定账号或提供保函。合同履约完毕，</w:t>
      </w:r>
      <w:r>
        <w:rPr>
          <w:rFonts w:hint="eastAsia" w:ascii="仿宋" w:hAnsi="仿宋" w:eastAsia="仿宋"/>
          <w:color w:val="auto"/>
          <w:sz w:val="24"/>
        </w:rPr>
        <w:t>履约保证金无息退还。</w:t>
      </w:r>
      <w:r>
        <w:rPr>
          <w:rFonts w:hint="eastAsia" w:ascii="仿宋" w:hAnsi="仿宋" w:eastAsia="仿宋"/>
          <w:color w:val="auto"/>
          <w:sz w:val="24"/>
          <w:szCs w:val="24"/>
        </w:rPr>
        <w:t>采购人</w:t>
      </w:r>
      <w:r>
        <w:rPr>
          <w:rFonts w:ascii="仿宋" w:hAnsi="仿宋" w:eastAsia="仿宋"/>
          <w:color w:val="auto"/>
          <w:sz w:val="24"/>
          <w:szCs w:val="24"/>
        </w:rPr>
        <w:t>单位名称：湖州师范学院</w:t>
      </w:r>
      <w:r>
        <w:rPr>
          <w:rFonts w:hint="eastAsia" w:ascii="仿宋" w:hAnsi="仿宋" w:eastAsia="仿宋"/>
          <w:color w:val="auto"/>
          <w:sz w:val="24"/>
          <w:szCs w:val="24"/>
        </w:rPr>
        <w:t>；</w:t>
      </w:r>
      <w:r>
        <w:rPr>
          <w:rFonts w:ascii="仿宋" w:hAnsi="仿宋" w:eastAsia="仿宋"/>
          <w:color w:val="auto"/>
          <w:sz w:val="24"/>
          <w:szCs w:val="24"/>
        </w:rPr>
        <w:t>开户行：建行吴兴支行</w:t>
      </w:r>
      <w:r>
        <w:rPr>
          <w:rFonts w:hint="eastAsia" w:ascii="仿宋" w:hAnsi="仿宋" w:eastAsia="仿宋"/>
          <w:color w:val="auto"/>
          <w:sz w:val="24"/>
          <w:szCs w:val="24"/>
        </w:rPr>
        <w:t>；</w:t>
      </w:r>
      <w:r>
        <w:rPr>
          <w:rFonts w:ascii="仿宋" w:hAnsi="仿宋" w:eastAsia="仿宋"/>
          <w:color w:val="auto"/>
          <w:sz w:val="24"/>
          <w:szCs w:val="24"/>
        </w:rPr>
        <w:t>账号</w:t>
      </w:r>
      <w:r>
        <w:rPr>
          <w:rFonts w:hint="eastAsia" w:ascii="仿宋" w:hAnsi="仿宋" w:eastAsia="仿宋"/>
          <w:color w:val="auto"/>
          <w:sz w:val="24"/>
          <w:szCs w:val="24"/>
        </w:rPr>
        <w:t>：</w:t>
      </w:r>
      <w:r>
        <w:rPr>
          <w:rFonts w:ascii="仿宋" w:hAnsi="仿宋" w:eastAsia="仿宋"/>
          <w:color w:val="auto"/>
          <w:sz w:val="24"/>
          <w:szCs w:val="24"/>
        </w:rPr>
        <w:t>33001649335050002860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  <w:r>
        <w:rPr>
          <w:rFonts w:ascii="仿宋" w:hAnsi="仿宋" w:eastAsia="仿宋"/>
          <w:color w:val="auto"/>
          <w:sz w:val="24"/>
          <w:szCs w:val="24"/>
        </w:rPr>
        <w:t>统一社会信用代码：123305004711725032</w:t>
      </w:r>
      <w:r>
        <w:rPr>
          <w:rFonts w:hint="eastAsia" w:ascii="仿宋" w:hAnsi="仿宋" w:eastAsia="仿宋"/>
          <w:color w:val="auto"/>
          <w:sz w:val="24"/>
          <w:szCs w:val="24"/>
        </w:rPr>
        <w:t>。地址、电话：湖州市二环东路759号，0572-2321567。</w:t>
      </w:r>
    </w:p>
    <w:p>
      <w:pPr>
        <w:ind w:firstLine="472" w:firstLineChars="196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、付款方式</w:t>
      </w:r>
    </w:p>
    <w:p>
      <w:pPr>
        <w:tabs>
          <w:tab w:val="left" w:pos="1119"/>
        </w:tabs>
        <w:autoSpaceDE w:val="0"/>
        <w:autoSpaceDN w:val="0"/>
        <w:spacing w:before="11" w:line="3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项目全部完成经采购人验收合格后，支付合同结算款的100%，供应商须一次性开具合同结算款全额发票。</w:t>
      </w:r>
    </w:p>
    <w:p>
      <w:pPr>
        <w:ind w:firstLine="472" w:firstLineChars="196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、其他事项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1.完成时间：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202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0日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质保期：2年，自验收合格之日起计算。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3.</w:t>
      </w:r>
      <w:r>
        <w:rPr>
          <w:rFonts w:hint="eastAsia" w:ascii="仿宋" w:hAnsi="仿宋" w:eastAsia="仿宋"/>
          <w:b w:val="0"/>
          <w:bCs/>
          <w:color w:val="auto"/>
          <w:sz w:val="24"/>
        </w:rPr>
        <w:t>售后</w:t>
      </w:r>
      <w:r>
        <w:rPr>
          <w:rFonts w:hint="eastAsia" w:ascii="仿宋" w:hAnsi="仿宋" w:eastAsia="仿宋"/>
          <w:color w:val="auto"/>
          <w:sz w:val="24"/>
          <w:szCs w:val="24"/>
        </w:rPr>
        <w:t>服务响应时间：接到采购人维修通知后，</w:t>
      </w:r>
      <w:r>
        <w:rPr>
          <w:rFonts w:hint="eastAsia" w:ascii="仿宋" w:hAnsi="仿宋" w:eastAsia="仿宋"/>
          <w:color w:val="auto"/>
          <w:sz w:val="24"/>
          <w:szCs w:val="24"/>
          <w:highlight w:val="yellow"/>
        </w:rPr>
        <w:t>48小时</w:t>
      </w:r>
      <w:r>
        <w:rPr>
          <w:rFonts w:hint="eastAsia" w:ascii="仿宋" w:hAnsi="仿宋" w:eastAsia="仿宋"/>
          <w:color w:val="auto"/>
          <w:sz w:val="24"/>
          <w:szCs w:val="24"/>
        </w:rPr>
        <w:t>内提供现场服务。</w:t>
      </w:r>
    </w:p>
    <w:p>
      <w:pPr>
        <w:ind w:firstLine="472" w:firstLineChars="196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附件一：</w:t>
      </w:r>
      <w:r>
        <w:rPr>
          <w:rFonts w:ascii="仿宋" w:hAnsi="仿宋" w:eastAsia="仿宋"/>
          <w:b/>
          <w:color w:val="auto"/>
          <w:sz w:val="24"/>
        </w:rPr>
        <w:t>投标报价</w:t>
      </w:r>
      <w:r>
        <w:rPr>
          <w:rFonts w:hint="eastAsia" w:ascii="仿宋" w:hAnsi="仿宋" w:eastAsia="仿宋"/>
          <w:b/>
          <w:color w:val="auto"/>
          <w:sz w:val="24"/>
        </w:rPr>
        <w:t>清单。</w:t>
      </w:r>
    </w:p>
    <w:p>
      <w:pPr>
        <w:ind w:firstLine="470" w:firstLineChars="196"/>
        <w:jc w:val="left"/>
        <w:rPr>
          <w:rFonts w:ascii="仿宋" w:hAnsi="仿宋" w:eastAsia="仿宋"/>
          <w:color w:val="auto"/>
          <w:sz w:val="24"/>
          <w:szCs w:val="24"/>
        </w:rPr>
      </w:pPr>
    </w:p>
    <w:p>
      <w:pPr>
        <w:ind w:firstLine="470" w:firstLineChars="196"/>
        <w:jc w:val="left"/>
        <w:rPr>
          <w:rFonts w:ascii="仿宋" w:hAnsi="仿宋" w:eastAsia="仿宋"/>
          <w:color w:val="auto"/>
          <w:sz w:val="24"/>
          <w:szCs w:val="24"/>
        </w:rPr>
      </w:pPr>
    </w:p>
    <w:p>
      <w:pPr>
        <w:ind w:right="480" w:firstLine="4819" w:firstLineChars="2000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 xml:space="preserve">湖州师范学院采购中心 </w:t>
      </w:r>
    </w:p>
    <w:p>
      <w:pPr>
        <w:ind w:right="480" w:firstLine="5180" w:firstLineChars="2150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202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日</w:t>
      </w:r>
    </w:p>
    <w:bookmarkEnd w:id="0"/>
    <w:p>
      <w:pPr>
        <w:pStyle w:val="4"/>
        <w:snapToGrid w:val="0"/>
        <w:spacing w:beforeLines="0" w:afterLines="0" w:line="240" w:lineRule="auto"/>
        <w:jc w:val="left"/>
        <w:rPr>
          <w:rFonts w:ascii="黑体" w:hAnsi="黑体" w:eastAsia="黑体"/>
          <w:color w:val="auto"/>
        </w:rPr>
      </w:pPr>
    </w:p>
    <w:p>
      <w:pPr>
        <w:pStyle w:val="4"/>
        <w:snapToGrid w:val="0"/>
        <w:spacing w:beforeLines="0" w:afterLines="0" w:line="240" w:lineRule="auto"/>
        <w:jc w:val="left"/>
        <w:rPr>
          <w:rFonts w:ascii="黑体" w:hAnsi="黑体" w:eastAsia="黑体"/>
          <w:color w:val="auto"/>
        </w:rPr>
      </w:pPr>
    </w:p>
    <w:p>
      <w:pPr>
        <w:rPr>
          <w:rFonts w:hint="eastAsia" w:ascii="黑体" w:hAnsi="黑体" w:eastAsia="黑体"/>
          <w:color w:val="auto"/>
        </w:rPr>
      </w:pPr>
    </w:p>
    <w:p>
      <w:pPr>
        <w:rPr>
          <w:rFonts w:hint="eastAsia" w:ascii="黑体" w:hAnsi="黑体" w:eastAsia="黑体"/>
          <w:color w:val="auto"/>
        </w:rPr>
      </w:pPr>
    </w:p>
    <w:p>
      <w:pPr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附件一：</w:t>
      </w:r>
      <w:r>
        <w:rPr>
          <w:rFonts w:ascii="黑体" w:hAnsi="黑体" w:eastAsia="黑体"/>
          <w:color w:val="auto"/>
        </w:rPr>
        <w:t>投标报价</w:t>
      </w:r>
      <w:r>
        <w:rPr>
          <w:rFonts w:hint="eastAsia" w:ascii="黑体" w:hAnsi="黑体" w:eastAsia="黑体"/>
          <w:color w:val="auto"/>
        </w:rPr>
        <w:t>清单</w:t>
      </w:r>
    </w:p>
    <w:p>
      <w:pPr>
        <w:snapToGrid w:val="0"/>
        <w:spacing w:before="50" w:after="50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  <w:lang w:val="en-US" w:eastAsia="zh-CN" w:bidi="ar"/>
        </w:rPr>
        <w:t>投标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  <w:lang w:bidi="ar"/>
        </w:rPr>
        <w:t>报价清单</w:t>
      </w:r>
    </w:p>
    <w:p>
      <w:pPr>
        <w:jc w:val="left"/>
        <w:rPr>
          <w:rFonts w:hint="eastAsia" w:ascii="仿宋" w:hAnsi="仿宋" w:eastAsia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采购项目名称：湖州师范学院体育学院专业认证实验室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文化</w:t>
      </w:r>
      <w:r>
        <w:rPr>
          <w:rFonts w:hint="eastAsia" w:ascii="仿宋" w:hAnsi="仿宋" w:eastAsia="仿宋"/>
          <w:b/>
          <w:color w:val="auto"/>
          <w:sz w:val="24"/>
        </w:rPr>
        <w:t>建设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项目</w:t>
      </w:r>
    </w:p>
    <w:p>
      <w:pPr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</w:rPr>
        <w:t>采购项目编号：XZ2021-082</w:t>
      </w:r>
    </w:p>
    <w:tbl>
      <w:tblPr>
        <w:tblStyle w:val="10"/>
        <w:tblpPr w:leftFromText="180" w:rightFromText="180" w:vertAnchor="text" w:horzAnchor="page" w:tblpX="995" w:tblpY="410"/>
        <w:tblOverlap w:val="never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66"/>
        <w:gridCol w:w="1938"/>
        <w:gridCol w:w="1909"/>
        <w:gridCol w:w="831"/>
        <w:gridCol w:w="1411"/>
        <w:gridCol w:w="141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81" w:type="dxa"/>
            <w:gridSpan w:val="8"/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一楼文化布置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导视牌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铁艺烤漆导视牌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1.65*1.25m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81" w:type="dxa"/>
            <w:gridSpan w:val="8"/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二楼文化布置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体育氛围画面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墙面基础平整+油画布过uv+2cmPVC雕刻+8mm亚克力过UV雕刻字+亚克力烤漆文字上墙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4.6*1.84m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3117215</wp:posOffset>
                  </wp:positionH>
                  <wp:positionV relativeFrom="paragraph">
                    <wp:posOffset>-2599690</wp:posOffset>
                  </wp:positionV>
                  <wp:extent cx="1694815" cy="1172845"/>
                  <wp:effectExtent l="0" t="0" r="635" b="8255"/>
                  <wp:wrapNone/>
                  <wp:docPr id="2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>+</w:t>
            </w:r>
            <w:r>
              <w:rPr>
                <w:rStyle w:val="26"/>
                <w:color w:val="auto"/>
                <w:lang w:val="en-US" w:eastAsia="zh-CN" w:bidi="ar"/>
              </w:rPr>
              <w:t>课件相关信息介绍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墙面基础平整+线路改造+油画布过uv+2cmPVC雕刻+8mm亚克力过UV雕刻字+亚克力烤漆文字上墙+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4*4m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软膜灯箱+灯箱布</w:t>
            </w:r>
          </w:p>
        </w:tc>
        <w:tc>
          <w:tcPr>
            <w:tcW w:w="190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学院简介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墙面基础平整+油画布过uv+2cmPVC雕刻+8mm亚克力过UV雕刻字+亚克力烤漆文字上墙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6x3m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制度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8mm亚克力背打uv+广告钉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90x60cm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学生荣誉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墙面基础平整+油画布过uv+2cmPVC雕刻+8mm亚克力过UV雕刻字+亚克力烤漆文字+铁皮烤漆造型上墙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5x3m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81" w:type="dxa"/>
            <w:gridSpan w:val="8"/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三楼文化布置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学生风采文化墙（1）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墙面基础平整+铁皮烤漆折边+pvc底板+8mm亚克力过UV雕刻字+亚克力烤漆文字上墙+PVC可磁吸可更换内容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18*4.3m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学生风采文化墙（2）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墙面基础平整+铁皮烤漆折边+pvc底板+8mm亚克力过UV雕刻字+亚克力烤漆文字上墙+PVC可磁吸可更换内容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10*4.3m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体育背景画面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墙面基础平整+油画布过UV喷画+立体2cmPVC雕刻</w:t>
            </w: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8*6.3m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乒乓球门外墙面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墙面基础平整+2cmPVC雕刻+8mm亚克力过UV雕刻字+亚克力烤漆文字上墙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3.2*3.8m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修读区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板材+油漆+桌子+椅子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总长7.5m，台面高度90cm，台面宽度45cm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2侧立柱涂环保涂料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高8m，直径67cm的圆柱体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三楼靠窗2根柱子换色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81" w:type="dxa"/>
            <w:gridSpan w:val="8"/>
            <w:shd w:val="clear" w:color="auto" w:fill="A5A5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东校区实验室文化布置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5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造型墙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墙面基础平整+油画布过uv+1cmPVC雕刻+8mm亚克力过UV雕刻字+亚克力烤漆文字+铁皮烤漆造型上墙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5x2.5m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24"/>
        </w:rPr>
      </w:pPr>
    </w:p>
    <w:p>
      <w:pPr>
        <w:rPr>
          <w:rFonts w:hint="eastAsia" w:ascii="仿宋" w:hAnsi="仿宋" w:eastAsia="仿宋"/>
          <w:color w:val="auto"/>
          <w:sz w:val="24"/>
        </w:rPr>
      </w:pPr>
    </w:p>
    <w:p>
      <w:pPr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                      投标人（公章）：</w:t>
      </w:r>
    </w:p>
    <w:p>
      <w:pPr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9962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AD8D2"/>
    <w:multiLevelType w:val="singleLevel"/>
    <w:tmpl w:val="238AD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79C6"/>
    <w:rsid w:val="0000101B"/>
    <w:rsid w:val="0000344B"/>
    <w:rsid w:val="00037BFF"/>
    <w:rsid w:val="00040727"/>
    <w:rsid w:val="00062004"/>
    <w:rsid w:val="00080227"/>
    <w:rsid w:val="00096D9C"/>
    <w:rsid w:val="000C1608"/>
    <w:rsid w:val="000F2CC8"/>
    <w:rsid w:val="00135363"/>
    <w:rsid w:val="0014339F"/>
    <w:rsid w:val="00172FD3"/>
    <w:rsid w:val="001929ED"/>
    <w:rsid w:val="00193521"/>
    <w:rsid w:val="001B1358"/>
    <w:rsid w:val="001E1EC2"/>
    <w:rsid w:val="001E501C"/>
    <w:rsid w:val="00217F50"/>
    <w:rsid w:val="00224EAF"/>
    <w:rsid w:val="002324DE"/>
    <w:rsid w:val="00247196"/>
    <w:rsid w:val="00261301"/>
    <w:rsid w:val="002673A6"/>
    <w:rsid w:val="002757BC"/>
    <w:rsid w:val="002A0EDF"/>
    <w:rsid w:val="002B02F8"/>
    <w:rsid w:val="002C07FB"/>
    <w:rsid w:val="002D68AB"/>
    <w:rsid w:val="002F51B7"/>
    <w:rsid w:val="00301360"/>
    <w:rsid w:val="00305B39"/>
    <w:rsid w:val="00333C6F"/>
    <w:rsid w:val="00336305"/>
    <w:rsid w:val="0035464D"/>
    <w:rsid w:val="0036356D"/>
    <w:rsid w:val="003871A6"/>
    <w:rsid w:val="003926C0"/>
    <w:rsid w:val="003D07E1"/>
    <w:rsid w:val="0041574A"/>
    <w:rsid w:val="0041651E"/>
    <w:rsid w:val="00463B0D"/>
    <w:rsid w:val="00464417"/>
    <w:rsid w:val="00464E45"/>
    <w:rsid w:val="004743A6"/>
    <w:rsid w:val="004771E6"/>
    <w:rsid w:val="004916EC"/>
    <w:rsid w:val="004B117E"/>
    <w:rsid w:val="00514CBE"/>
    <w:rsid w:val="005178C9"/>
    <w:rsid w:val="00552964"/>
    <w:rsid w:val="0056747D"/>
    <w:rsid w:val="00572531"/>
    <w:rsid w:val="00575467"/>
    <w:rsid w:val="0058369B"/>
    <w:rsid w:val="00596AD4"/>
    <w:rsid w:val="005A604D"/>
    <w:rsid w:val="005B3C0F"/>
    <w:rsid w:val="005F79C6"/>
    <w:rsid w:val="006110C9"/>
    <w:rsid w:val="00617688"/>
    <w:rsid w:val="00636972"/>
    <w:rsid w:val="006868AF"/>
    <w:rsid w:val="00695F1F"/>
    <w:rsid w:val="006A2FA1"/>
    <w:rsid w:val="006C00D3"/>
    <w:rsid w:val="006F4161"/>
    <w:rsid w:val="006F563E"/>
    <w:rsid w:val="00724DE3"/>
    <w:rsid w:val="007333DD"/>
    <w:rsid w:val="0074168C"/>
    <w:rsid w:val="007801DC"/>
    <w:rsid w:val="007B069C"/>
    <w:rsid w:val="007D744C"/>
    <w:rsid w:val="007F1635"/>
    <w:rsid w:val="007F44A6"/>
    <w:rsid w:val="008021A0"/>
    <w:rsid w:val="00802FD7"/>
    <w:rsid w:val="008171CB"/>
    <w:rsid w:val="00832D44"/>
    <w:rsid w:val="00842E99"/>
    <w:rsid w:val="00860F48"/>
    <w:rsid w:val="00865555"/>
    <w:rsid w:val="00884B9C"/>
    <w:rsid w:val="00886E6D"/>
    <w:rsid w:val="00891B5F"/>
    <w:rsid w:val="008D614F"/>
    <w:rsid w:val="009037BD"/>
    <w:rsid w:val="009511B6"/>
    <w:rsid w:val="009653C3"/>
    <w:rsid w:val="00967075"/>
    <w:rsid w:val="00973234"/>
    <w:rsid w:val="00973402"/>
    <w:rsid w:val="00984C7E"/>
    <w:rsid w:val="009859CA"/>
    <w:rsid w:val="009A10B8"/>
    <w:rsid w:val="009A3BA5"/>
    <w:rsid w:val="009D38F7"/>
    <w:rsid w:val="009F25FD"/>
    <w:rsid w:val="00A03183"/>
    <w:rsid w:val="00A04891"/>
    <w:rsid w:val="00A214FF"/>
    <w:rsid w:val="00A277B4"/>
    <w:rsid w:val="00A505B1"/>
    <w:rsid w:val="00AC6DDF"/>
    <w:rsid w:val="00B1176F"/>
    <w:rsid w:val="00B15E3D"/>
    <w:rsid w:val="00B2132D"/>
    <w:rsid w:val="00B2222E"/>
    <w:rsid w:val="00B40088"/>
    <w:rsid w:val="00B43ED9"/>
    <w:rsid w:val="00B45A2C"/>
    <w:rsid w:val="00B53643"/>
    <w:rsid w:val="00B63316"/>
    <w:rsid w:val="00B76176"/>
    <w:rsid w:val="00B768FA"/>
    <w:rsid w:val="00BA4DF7"/>
    <w:rsid w:val="00BA7478"/>
    <w:rsid w:val="00BF5CFA"/>
    <w:rsid w:val="00C043C9"/>
    <w:rsid w:val="00C27D1F"/>
    <w:rsid w:val="00C32334"/>
    <w:rsid w:val="00C439F6"/>
    <w:rsid w:val="00C44089"/>
    <w:rsid w:val="00C820D6"/>
    <w:rsid w:val="00C84FC9"/>
    <w:rsid w:val="00C86509"/>
    <w:rsid w:val="00C90129"/>
    <w:rsid w:val="00CB4269"/>
    <w:rsid w:val="00CE5C69"/>
    <w:rsid w:val="00D06C3E"/>
    <w:rsid w:val="00D2616D"/>
    <w:rsid w:val="00D560F0"/>
    <w:rsid w:val="00D624D3"/>
    <w:rsid w:val="00DB3D67"/>
    <w:rsid w:val="00DC0E93"/>
    <w:rsid w:val="00DC353D"/>
    <w:rsid w:val="00DC72EF"/>
    <w:rsid w:val="00E03991"/>
    <w:rsid w:val="00E36A24"/>
    <w:rsid w:val="00E42A4F"/>
    <w:rsid w:val="00E52A29"/>
    <w:rsid w:val="00F1571F"/>
    <w:rsid w:val="00F21ACF"/>
    <w:rsid w:val="00F23E21"/>
    <w:rsid w:val="00F46313"/>
    <w:rsid w:val="00F51BDB"/>
    <w:rsid w:val="00F62BA7"/>
    <w:rsid w:val="00F732A0"/>
    <w:rsid w:val="00FA7F94"/>
    <w:rsid w:val="00FB70B7"/>
    <w:rsid w:val="00FC04CE"/>
    <w:rsid w:val="00FD1408"/>
    <w:rsid w:val="00FE190A"/>
    <w:rsid w:val="00FF1BCE"/>
    <w:rsid w:val="00FF5869"/>
    <w:rsid w:val="02F065D9"/>
    <w:rsid w:val="042E7F26"/>
    <w:rsid w:val="0498715D"/>
    <w:rsid w:val="05BF6F7B"/>
    <w:rsid w:val="0A862D5D"/>
    <w:rsid w:val="0E73263A"/>
    <w:rsid w:val="10440992"/>
    <w:rsid w:val="12AB2FCE"/>
    <w:rsid w:val="13A024B2"/>
    <w:rsid w:val="15314457"/>
    <w:rsid w:val="17210229"/>
    <w:rsid w:val="18D964A1"/>
    <w:rsid w:val="1E6E5808"/>
    <w:rsid w:val="1ED353BC"/>
    <w:rsid w:val="1F34532A"/>
    <w:rsid w:val="223B614B"/>
    <w:rsid w:val="2600692E"/>
    <w:rsid w:val="26E74D83"/>
    <w:rsid w:val="2A8337A7"/>
    <w:rsid w:val="2FA3065E"/>
    <w:rsid w:val="2FC92347"/>
    <w:rsid w:val="308D1D12"/>
    <w:rsid w:val="3575708A"/>
    <w:rsid w:val="36C73990"/>
    <w:rsid w:val="37C26AB1"/>
    <w:rsid w:val="3934342D"/>
    <w:rsid w:val="3A257EE8"/>
    <w:rsid w:val="3BBA7234"/>
    <w:rsid w:val="3D507F57"/>
    <w:rsid w:val="3FEF5CC8"/>
    <w:rsid w:val="41181C0C"/>
    <w:rsid w:val="44354B24"/>
    <w:rsid w:val="445A75AF"/>
    <w:rsid w:val="464B0A9E"/>
    <w:rsid w:val="470D29FD"/>
    <w:rsid w:val="491A430A"/>
    <w:rsid w:val="4CCE6F95"/>
    <w:rsid w:val="53D747FE"/>
    <w:rsid w:val="54504C36"/>
    <w:rsid w:val="634069E0"/>
    <w:rsid w:val="6678268C"/>
    <w:rsid w:val="6CDE186B"/>
    <w:rsid w:val="6DD2604C"/>
    <w:rsid w:val="6F7A4D39"/>
    <w:rsid w:val="6FF34F47"/>
    <w:rsid w:val="70655DCA"/>
    <w:rsid w:val="7B04577E"/>
    <w:rsid w:val="7B6C2463"/>
    <w:rsid w:val="7CC46CBE"/>
    <w:rsid w:val="7E493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after="120"/>
    </w:pPr>
    <w:rPr>
      <w:rFonts w:ascii="宋体" w:hAnsi="宋体"/>
      <w:sz w:val="28"/>
      <w:szCs w:val="24"/>
    </w:rPr>
  </w:style>
  <w:style w:type="paragraph" w:styleId="4">
    <w:name w:val="Plain Text"/>
    <w:basedOn w:val="1"/>
    <w:link w:val="19"/>
    <w:qFormat/>
    <w:uiPriority w:val="0"/>
    <w:pPr>
      <w:spacing w:beforeLines="50" w:afterLines="50" w:line="400" w:lineRule="atLeast"/>
    </w:pPr>
    <w:rPr>
      <w:rFonts w:ascii="宋体" w:hAnsi="Courier New"/>
      <w:sz w:val="24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12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8"/>
      <w:szCs w:val="24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正文文本缩进 2 Char"/>
    <w:basedOn w:val="11"/>
    <w:link w:val="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13">
    <w:name w:val="List Paragraph"/>
    <w:basedOn w:val="1"/>
    <w:qFormat/>
    <w:uiPriority w:val="1"/>
    <w:pPr>
      <w:ind w:firstLine="420" w:firstLineChars="200"/>
    </w:pPr>
  </w:style>
  <w:style w:type="paragraph" w:customStyle="1" w:styleId="14">
    <w:name w:val="Char1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仿宋_GB2312" w:hAnsi="Arial" w:eastAsia="仿宋_GB2312" w:cs="Times New Roman"/>
      <w:kern w:val="0"/>
      <w:sz w:val="24"/>
      <w:szCs w:val="24"/>
      <w:lang w:eastAsia="en-US"/>
    </w:rPr>
  </w:style>
  <w:style w:type="character" w:customStyle="1" w:styleId="15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5"/>
    <w:semiHidden/>
    <w:qFormat/>
    <w:uiPriority w:val="99"/>
  </w:style>
  <w:style w:type="character" w:customStyle="1" w:styleId="18">
    <w:name w:val="纯文本 Char"/>
    <w:basedOn w:val="11"/>
    <w:link w:val="4"/>
    <w:qFormat/>
    <w:uiPriority w:val="0"/>
    <w:rPr>
      <w:rFonts w:ascii="宋体" w:hAnsi="Courier New"/>
      <w:sz w:val="24"/>
      <w:szCs w:val="24"/>
    </w:rPr>
  </w:style>
  <w:style w:type="character" w:customStyle="1" w:styleId="19">
    <w:name w:val="纯文本 Char1"/>
    <w:basedOn w:val="11"/>
    <w:link w:val="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0">
    <w:name w:val="标准文本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Times New Roman" w:hAnsi="Times New Roman" w:eastAsia="Times New Roman" w:cs="Times New Roman"/>
      <w:kern w:val="0"/>
      <w:szCs w:val="20"/>
      <w:lang w:val="zh-CN"/>
    </w:rPr>
  </w:style>
  <w:style w:type="character" w:customStyle="1" w:styleId="21">
    <w:name w:val="正文文本 Char"/>
    <w:link w:val="3"/>
    <w:qFormat/>
    <w:uiPriority w:val="0"/>
    <w:rPr>
      <w:rFonts w:ascii="宋体" w:hAnsi="宋体"/>
      <w:sz w:val="28"/>
      <w:szCs w:val="24"/>
    </w:rPr>
  </w:style>
  <w:style w:type="character" w:customStyle="1" w:styleId="22">
    <w:name w:val="正文文本 Char1"/>
    <w:basedOn w:val="11"/>
    <w:link w:val="3"/>
    <w:semiHidden/>
    <w:qFormat/>
    <w:uiPriority w:val="99"/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4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25">
    <w:name w:val="font51"/>
    <w:basedOn w:val="1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6">
    <w:name w:val="font0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1876</Words>
  <Characters>10698</Characters>
  <Lines>89</Lines>
  <Paragraphs>25</Paragraphs>
  <TotalTime>27</TotalTime>
  <ScaleCrop>false</ScaleCrop>
  <LinksUpToDate>false</LinksUpToDate>
  <CharactersWithSpaces>12549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2019-11-19T02:40:00Z</dcterms:created>
  <dc:creator>微软用户</dc:creator>
  <cp:lastModifiedBy>WPS_1470368805</cp:lastModifiedBy>
  <dcterms:modified xsi:type="dcterms:W3CDTF">2021-09-15T02:18:40Z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F896CBA7A8054ECABB73980CFAA08A39</vt:lpwstr>
  </property>
</Properties>
</file>