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湖州师范学院医学院生物医学实验教学中心（医学基础设备）采购项目</w:t>
      </w:r>
    </w:p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询价文件</w:t>
      </w:r>
      <w:bookmarkStart w:id="0" w:name="_GoBack"/>
      <w:bookmarkEnd w:id="0"/>
    </w:p>
    <w:p>
      <w:pPr>
        <w:rPr>
          <w:rFonts w:ascii="仿宋" w:hAnsi="仿宋" w:eastAsia="仿宋" w:cs="仿宋_GB2312"/>
          <w:b/>
          <w:color w:val="auto"/>
          <w:sz w:val="24"/>
        </w:rPr>
      </w:pPr>
    </w:p>
    <w:p>
      <w:pPr>
        <w:ind w:firstLine="472" w:firstLineChars="196"/>
        <w:rPr>
          <w:rFonts w:ascii="仿宋" w:hAnsi="仿宋" w:eastAsia="仿宋" w:cs="仿宋_GB2312"/>
          <w:b/>
          <w:color w:val="auto"/>
          <w:sz w:val="24"/>
        </w:rPr>
      </w:pPr>
      <w:r>
        <w:rPr>
          <w:rFonts w:hint="eastAsia" w:ascii="仿宋" w:hAnsi="仿宋" w:eastAsia="仿宋" w:cs="仿宋_GB2312"/>
          <w:b/>
          <w:color w:val="auto"/>
          <w:sz w:val="24"/>
        </w:rPr>
        <w:t>一、采购项目名称、采购清单及要求：</w:t>
      </w:r>
    </w:p>
    <w:p>
      <w:pPr>
        <w:ind w:firstLine="482" w:firstLineChars="200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湖州师范学院医学院生物医学实验教学中心（医学基础设备）采购项目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</w:rPr>
        <w:t>XZ2024-037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</w:rPr>
        <w:t>校内询价</w:t>
      </w:r>
    </w:p>
    <w:p>
      <w:pPr>
        <w:ind w:firstLine="482" w:firstLineChars="200"/>
        <w:rPr>
          <w:rFonts w:ascii="仿宋" w:hAnsi="仿宋" w:eastAsia="仿宋" w:cs="仿宋_GB2312"/>
          <w:b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采购预算：</w:t>
      </w:r>
      <w:r>
        <w:rPr>
          <w:rFonts w:hint="eastAsia" w:ascii="仿宋" w:hAnsi="仿宋" w:eastAsia="仿宋" w:cs="仿宋_GB2312"/>
          <w:bCs/>
          <w:color w:val="auto"/>
          <w:sz w:val="24"/>
        </w:rPr>
        <w:t>人民币：柒万捌仟陆佰柒拾伍元整（￥78675元），包含货物费、运输费、安装调试费、服务费、税费等全部费用在内。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6.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采购清单</w:t>
      </w:r>
      <w:r>
        <w:rPr>
          <w:rFonts w:hint="eastAsia" w:ascii="仿宋" w:hAnsi="仿宋" w:eastAsia="仿宋" w:cs="仿宋_GB2312"/>
          <w:color w:val="auto"/>
          <w:sz w:val="24"/>
        </w:rPr>
        <w:t>（包括货物名称、技术参数、数量、单位等）：</w:t>
      </w:r>
    </w:p>
    <w:tbl>
      <w:tblPr>
        <w:tblStyle w:val="12"/>
        <w:tblW w:w="8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153"/>
        <w:gridCol w:w="1861"/>
        <w:gridCol w:w="1563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2" w:type="dxa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3153" w:type="dxa"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名称</w:t>
            </w:r>
          </w:p>
        </w:tc>
        <w:tc>
          <w:tcPr>
            <w:tcW w:w="1861" w:type="dxa"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技术参数需求</w:t>
            </w:r>
          </w:p>
        </w:tc>
        <w:tc>
          <w:tcPr>
            <w:tcW w:w="1563" w:type="dxa"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单位</w:t>
            </w:r>
          </w:p>
        </w:tc>
        <w:tc>
          <w:tcPr>
            <w:tcW w:w="701" w:type="dxa"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人唾液腺组合（腮腺、舌下腺、下颌下腺），切片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详见附件2技术参数需求表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人血，涂片（WR染色）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人骨骼肌组合，纵横切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人心肌，纵切 （ M染色）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人食管组合(上,中,下三段)，切片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人附睾，切片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人前列腺( 老年人)，切片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人成熟卵巢,切片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人小脑，切片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人周围神经组合,（纵横切）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人甲状腺带甲状旁腺，切片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人脊髓，横切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人胸腺,切片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人阑尾，切片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72小时鸡胚装片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人肝脏，切片 （HE染色）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电子天平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18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医用冷藏展示柜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19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高速冷冻离心机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手持高速匀浆机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5</w:t>
            </w:r>
          </w:p>
        </w:tc>
      </w:tr>
    </w:tbl>
    <w:p>
      <w:pPr>
        <w:jc w:val="center"/>
        <w:rPr>
          <w:rFonts w:ascii="仿宋" w:hAnsi="仿宋" w:eastAsia="仿宋" w:cs="宋体"/>
          <w:color w:val="auto"/>
          <w:kern w:val="0"/>
          <w:sz w:val="24"/>
        </w:rPr>
      </w:pPr>
    </w:p>
    <w:p>
      <w:pPr>
        <w:ind w:firstLine="472" w:firstLineChars="196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投标报价清单</w:t>
      </w:r>
      <w:r>
        <w:rPr>
          <w:rFonts w:ascii="仿宋" w:hAnsi="仿宋" w:eastAsia="仿宋"/>
          <w:color w:val="auto"/>
          <w:sz w:val="24"/>
        </w:rPr>
        <w:t>(</w:t>
      </w:r>
      <w:r>
        <w:rPr>
          <w:rFonts w:hint="eastAsia" w:ascii="仿宋" w:hAnsi="仿宋" w:eastAsia="仿宋" w:cs="仿宋_GB2312"/>
          <w:color w:val="auto"/>
          <w:sz w:val="24"/>
        </w:rPr>
        <w:t>含货物费、运输费、安装调试费、保险费、服务费、税费等全部费用。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auto"/>
          <w:sz w:val="24"/>
        </w:rPr>
        <w:t>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有效的营业执照副本复印件、税务登记证副本复印件；或“三证合一”营业执照副本复印件；或“五证合一”营业执照副本复印件；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 w:cs="仿宋_GB2312"/>
          <w:color w:val="auto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5.投标产品质量及售后服务承诺书；</w:t>
      </w:r>
    </w:p>
    <w:p>
      <w:pPr>
        <w:pStyle w:val="2"/>
        <w:ind w:firstLine="480" w:firstLineChars="200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6.投标产品清单序号1-16的全国基础医学形态学实验室主任联席会鉴定报告；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7.投标产品清单序号17-20的彩图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及简介</w:t>
      </w:r>
      <w:r>
        <w:rPr>
          <w:rFonts w:hint="eastAsia" w:ascii="仿宋" w:hAnsi="仿宋" w:eastAsia="仿宋"/>
          <w:color w:val="auto"/>
          <w:sz w:val="24"/>
        </w:rPr>
        <w:t>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8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投标产品的技术参数响应表（见附件3，根据技术参数需求表制作，技术参数存在负偏离作无效标处理）；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9.提供自采购公告发布之日起至开标截止时间止的“信用中国”网站（www.creditchina.gov.cn）、中国政府采购网（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zfcg.czt.zj.gov.cn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10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其他相关材料（采购需求清单中要求提供的材料，投标人认为需要提供的材料等）。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2024年5月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30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日1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0；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/>
          <w:color w:val="auto"/>
          <w:sz w:val="24"/>
        </w:rPr>
        <w:t>联系人：张老师；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</w:rPr>
        <w:t>中标人依法依规开具全额发票，采购人按合同金额原则上于14个工作日内（如遇特殊情况顺延）一次性全额支付款项。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1.交货时间：</w:t>
      </w:r>
      <w:r>
        <w:rPr>
          <w:rFonts w:hint="eastAsia" w:ascii="仿宋" w:hAnsi="仿宋" w:eastAsia="仿宋"/>
          <w:bCs/>
          <w:color w:val="auto"/>
          <w:sz w:val="24"/>
        </w:rPr>
        <w:t>合同签订后30日内供货并完成安装调试</w:t>
      </w:r>
      <w:r>
        <w:rPr>
          <w:rFonts w:hint="eastAsia" w:ascii="仿宋" w:hAnsi="仿宋" w:eastAsia="仿宋"/>
          <w:color w:val="auto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2.交货地点：湖州师范学院指定地点。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七、售后服务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自验收合格之日起，质保期2年；质保期内出现故障，中标人应在接到故障报修请求后，于30分钟内响应，2小时内提出解决方案，24小时内到达现场进行维修，48不能完成修复的，必须采取提供备品、备件或备机等措施以保证采购人正常使用。质保期后，中标人继续提供维保服务，仅收取零配件成本费。中标人应对采购人的维修人员提供培训，使其能对设备进行日常的维护保养及能对一般故障进行维修。中标人应对采购人的操作人员提供操作培训，并使其能熟练操作系统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2.货到之后，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序号1-16</w:t>
      </w:r>
      <w:r>
        <w:rPr>
          <w:rFonts w:hint="eastAsia" w:ascii="仿宋" w:hAnsi="仿宋" w:eastAsia="仿宋"/>
          <w:color w:val="auto"/>
          <w:sz w:val="24"/>
        </w:rPr>
        <w:t>进行抽查，如果镜下切片质量不符合预期要求，3个月内进行调换</w:t>
      </w:r>
      <w:r>
        <w:rPr>
          <w:rFonts w:hint="eastAsia" w:ascii="仿宋" w:hAnsi="仿宋" w:eastAsia="仿宋"/>
          <w:color w:val="auto"/>
          <w:sz w:val="24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调换后仍不符合要求的，</w:t>
      </w:r>
      <w:r>
        <w:rPr>
          <w:rFonts w:hint="default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项及以下不符合要求的作单项金额在总价中扣除后结算，</w:t>
      </w:r>
      <w:r>
        <w:rPr>
          <w:rFonts w:hint="default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项以上不符合要求的整个项目验收认定为不合格</w:t>
      </w:r>
      <w:r>
        <w:rPr>
          <w:rFonts w:hint="eastAsia" w:ascii="仿宋" w:hAnsi="仿宋" w:eastAsia="仿宋"/>
          <w:color w:val="auto"/>
          <w:sz w:val="24"/>
        </w:rPr>
        <w:t>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附件1：投标报价清单</w:t>
      </w:r>
    </w:p>
    <w:p>
      <w:pPr>
        <w:pStyle w:val="2"/>
        <w:ind w:firstLine="482" w:firstLineChars="200"/>
        <w:rPr>
          <w:rFonts w:eastAsia="仿宋"/>
          <w:color w:val="auto"/>
        </w:rPr>
      </w:pPr>
      <w:r>
        <w:rPr>
          <w:rFonts w:hint="eastAsia" w:ascii="仿宋" w:hAnsi="仿宋" w:eastAsia="仿宋"/>
          <w:b/>
          <w:color w:val="auto"/>
          <w:sz w:val="24"/>
        </w:rPr>
        <w:t>附件2：技术参数需求表</w:t>
      </w:r>
    </w:p>
    <w:p>
      <w:pPr>
        <w:pStyle w:val="5"/>
        <w:ind w:firstLine="482" w:firstLineChars="200"/>
        <w:rPr>
          <w:rFonts w:eastAsia="仿宋"/>
          <w:color w:val="auto"/>
        </w:rPr>
      </w:pPr>
      <w:r>
        <w:rPr>
          <w:rFonts w:hint="eastAsia" w:ascii="仿宋" w:hAnsi="仿宋" w:eastAsia="仿宋"/>
          <w:b/>
          <w:color w:val="auto"/>
          <w:sz w:val="24"/>
        </w:rPr>
        <w:t>附件3：技术参数响应表</w:t>
      </w: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2024年5月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23</w:t>
      </w:r>
      <w:r>
        <w:rPr>
          <w:rFonts w:hint="eastAsia" w:ascii="仿宋" w:hAnsi="仿宋" w:eastAsia="仿宋"/>
          <w:b/>
          <w:color w:val="auto"/>
          <w:sz w:val="24"/>
        </w:rPr>
        <w:t>日</w:t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湖州师范学院医学院生物医学实验教学中心（医学基础设备）采购项目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XZ2024-037</w:t>
      </w:r>
    </w:p>
    <w:tbl>
      <w:tblPr>
        <w:tblStyle w:val="11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574"/>
        <w:gridCol w:w="2388"/>
        <w:gridCol w:w="1450"/>
        <w:gridCol w:w="537"/>
        <w:gridCol w:w="1275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2574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名称</w:t>
            </w:r>
          </w:p>
        </w:tc>
        <w:tc>
          <w:tcPr>
            <w:tcW w:w="2388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投标品牌型号（切片规格型号）</w:t>
            </w:r>
          </w:p>
        </w:tc>
        <w:tc>
          <w:tcPr>
            <w:tcW w:w="1450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单位</w:t>
            </w:r>
          </w:p>
        </w:tc>
        <w:tc>
          <w:tcPr>
            <w:tcW w:w="537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数量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投标单价（元）</w:t>
            </w:r>
          </w:p>
        </w:tc>
        <w:tc>
          <w:tcPr>
            <w:tcW w:w="1231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人唾液腺组合（腮腺、舌下腺、下颌下腺），切片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人血，涂片（WR染色）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人骨骼肌组合，纵横切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人心肌，纵切 （ M染色）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人食管组合(上,中,下三段)，切片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人附睾，切片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人前列腺( 老年人)，切片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人成熟卵巢,切片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人小脑，切片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人周围神经组合,（纵横切）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人甲状腺带甲状旁腺，切片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人脊髓，横切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人胸腺,切片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人阑尾，切片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72小时鸡胚装片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人肝脏，切片 （HE染色）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盒（36片）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电子天平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18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医用冷藏展示柜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19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高速冷冻离心机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exact"/>
          <w:jc w:val="center"/>
        </w:trPr>
        <w:tc>
          <w:tcPr>
            <w:tcW w:w="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手持高速匀浆机</w:t>
            </w:r>
          </w:p>
        </w:tc>
        <w:tc>
          <w:tcPr>
            <w:tcW w:w="23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5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169" w:type="dxa"/>
            <w:gridSpan w:val="2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Style w:val="14"/>
                <w:rFonts w:hint="eastAsia" w:ascii="仿宋" w:hAnsi="仿宋" w:eastAsia="仿宋" w:cs="仿宋"/>
                <w:bCs/>
                <w:color w:val="auto"/>
                <w:shd w:val="clear" w:color="auto" w:fill="FFFFFF"/>
              </w:rPr>
              <w:t>合计</w:t>
            </w:r>
          </w:p>
        </w:tc>
        <w:tc>
          <w:tcPr>
            <w:tcW w:w="6881" w:type="dxa"/>
            <w:gridSpan w:val="5"/>
            <w:noWrap/>
            <w:vAlign w:val="center"/>
          </w:tcPr>
          <w:p>
            <w:pPr>
              <w:pStyle w:val="10"/>
              <w:widowControl/>
              <w:tabs>
                <w:tab w:val="left" w:pos="1839"/>
              </w:tabs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人民币：元整（￥元）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注：以上投标报价包含货物费、运输费、安装调试费、服务费、税费等全部费用在内，</w:t>
      </w: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ind w:firstLine="5040" w:firstLineChars="2100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2024</w:t>
      </w:r>
      <w:r>
        <w:rPr>
          <w:rFonts w:hint="eastAsia"/>
          <w:color w:val="auto"/>
        </w:rPr>
        <w:t>年    月   日</w:t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pStyle w:val="2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24"/>
        </w:rPr>
        <w:t>附件2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技术参数需求表</w:t>
      </w:r>
    </w:p>
    <w:p>
      <w:pPr>
        <w:rPr>
          <w:rFonts w:ascii="仿宋" w:hAnsi="仿宋" w:eastAsia="仿宋"/>
          <w:b/>
          <w:color w:val="auto"/>
          <w:sz w:val="24"/>
        </w:rPr>
      </w:pPr>
    </w:p>
    <w:tbl>
      <w:tblPr>
        <w:tblStyle w:val="11"/>
        <w:tblW w:w="981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52"/>
        <w:gridCol w:w="6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名称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技术参数需求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人唾液腺组合（腮腺、舌下腺、下颌下腺），切片</w:t>
            </w:r>
          </w:p>
        </w:tc>
        <w:tc>
          <w:tcPr>
            <w:tcW w:w="6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1、玻片清晰显示该产品的形态结构，符合教学要求。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2、玻片涂片，厚薄均匀、无刀痕、厚度根据不同组织部位在4-10um；展片平整、无褶皱和裂片；组织部位无杂质；染色清晰明显；胞质和胞核染色对比明显；封片厚薄均匀、无裂缝和偏移。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3、染色采用高质量染料，确保染色质量好，两年不退色，不掉色。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4、封片采用进中性树胶，确保封片质量，三年不掉片。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5、提供全国基础医学形态学实验室主任联席会鉴定报告。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人血，涂片（WR染色）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人骨骼肌组合，纵横切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人心肌，纵切 （ M染色）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人食管组合(上,中,下三段)，切片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人附睾，切片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人前列腺( 老年人)，切片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人成熟卵巢,切片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人小脑，切片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人周围神经组合,（纵横切）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人甲状腺带甲状旁腺，切片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人脊髓，横切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人胸腺,切片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人阑尾，切片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72小时鸡胚装片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人肝脏，切片 （HE染色）</w:t>
            </w:r>
          </w:p>
        </w:tc>
        <w:tc>
          <w:tcPr>
            <w:tcW w:w="6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电子天平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1、最大秤量:620g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2、可读性:0.01g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3、分度值:0.01g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4、秤盘尺寸:145mm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5、电池使用寿命:使用干电池可工作270小时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6、显示屏:明亮清晰的LCD 显示屏（白色背光）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7、秤盘结构:不锈钢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8、稳定时间 (2):1 s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9、皮重范围:去皮重功能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10、测量单位:克拉; 谷物; Gram; 两（中国香港）; 牛顿; 盎司; 盎司（金衡制）; 本尼威特; 两（新加坡）; 两（中国台湾）; 提卡; 拖拉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11、工作环境:0°C – 40°C, 85%RH, 非冷凝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医用冷藏展示柜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1、工作条件：环境温度16-32℃，环境湿度：20-80%，电压：187V~242V，频率50±1Hz。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2、样式：立式，单门。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3、有效容积(L)：395。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4、外部尺寸（宽*深*高mm）：650*673*1992。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5、内部尺寸（宽*深*高mm）：580*533*1352。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6、净重（KG）/毛重（KG）：94.5/108。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7、内胆材料：HIPS材质，抗腐蚀，使用寿命长，清洗方便。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8、箱体材料：优质结构钢板，经先进防腐磷化、喷涂工艺。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9、箱内筒状双LED照明系统，功耗低，亮度高，箱体内部一目了然。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10、压缩机：采用品牌高效压缩机，品牌风扇电机，节能高效、静音。R600a制冷剂。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11、高密度钢丝浸塑搁架（间距小于1公分，防止物品掉落），带标签卡，方便存放物品标识，且易于清洗，配备储物篮筐（6搁架+1吊篮）。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12、标配门锁，防止随意开启，存储物品安全。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13、前后四个万向脚轮+前两个支撑脚设计，方便移动安放。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14、门体加热模式：自动加热模式、一直加热模式、关闭模式，实现32℃环温80%湿度条件下无凝露，小角度自动关门功能。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15、高精度微电脑温度控制系统，内置上部温度、下部温度、控制/报警温度、环境温度、蒸发器温度、冷凝器温度、湿度传感器等7路传感器，确保运行状态安全稳定。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16、箱内温度波动范围±3℃，可通过设定温度使箱内温度保持在2-8℃范围内。风道式强制冷气循环系统，确保箱体内部温度均匀性。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17、1英寸高亮度天蓝色数码温度屏，视觉更柔和，显示精度0.1℃；可调阅湿度。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18、完善的报警功能：具有高温、低温、高环温报警、传感器故警、开门、断电报警、电池电量低报警、显示板通信故障报警、记录仪通讯故障报警等多种报警功能。开门蜂鸣报警，门关闭报警消除。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19、报警模式：声音蜂鸣、报警代码3秒/次间隔闪烁，物品存放更安全，具备远程报警功能。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20、风冷式高效冷凝器，翅片式蒸发器，冷藏内置吸风风扇，制冷迅速；具备自动化霜功能。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21、温度记录打印机，打印时间间隔1～240分钟可选。系统内时间与北京时间同步。可打印当天及一周内数据，也可打印定义时间段数据。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22、USB数据导出接口，默认导出未导出过的数据，最多导出12个月，数据PDF格式；蓄电池可提供不少于48小时显示及报警功能。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23、标配RS485接口、远程报警接口。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24、左侧标配一个测试孔，方便监控箱内温度。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25、当控制/报警传感器发生故障时，压缩机以开机5分钟、停机6分钟规律运作，确保物品存储安全。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26、冷凝水汇集后自动蒸发，免除人工处理冷凝水的烦恼。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27、门开风扇电机停止运行，门关风扇电机自动开始运行。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28、具有节能环保认证。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高速冷冻离心机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1、超静音运行，噪音水平低，噪音&lt;60db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2、SOFT软刹车功能,防止重悬,保护敏感样品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3、最大容量 24×1.5ml/2.0ml 离心管最高离心力21,400×g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4、采用进口电机、免维护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5、彩色液晶大屏,可同时显示时间、转速、离心力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6、单独的点动离心按键,可快速离心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7、离心结束后离心机自动开盖,防止样品过热（仅iCEN-24离心机）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8、3种转子可选,适配0.2、0.5、1.5、2.0、5.0ml离心管和 PCR 排管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9、高强度铝合金转子,无使用寿命限制，可高温高压灭菌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10、多种安全保护,符合 CE 安全标准,安全可靠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11、升降速度快,升至最高速度仅需15s,从最高速度降至0仅需15S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12、强大制冷能力，最高转速时也可保持4℃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13、降温速度快，在&lt;20min内，可从室温降至4℃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14、温控范围：-10℃至40℃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15、静态预冷模式，离心机机盖关闭状态下，压缩机自动启动制冷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手持高速匀浆机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1、转速范围：1000-32000r/min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2、处理量：0.2-150ml (H2O)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3、标准工作头：10G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4、处理粘度：2000mpas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5、功率：120W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6、转速控制：6档速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7、接触物料材质：SS316L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8、进入物料部分轴套材质：PTFE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9、允许相对湿度：80%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10、工序类型：微量分批处理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11、重量：2kg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12、电源：220V 50HZ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13、工作头配置：HR-6G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14、规格：6G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15、处理量 ：0.2-50ml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16、粘度cp：100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17、线速度m/s：5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18、刀头长度mm：125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19、刀头直径mm：6</w:t>
            </w:r>
          </w:p>
        </w:tc>
      </w:tr>
    </w:tbl>
    <w:p>
      <w:pPr>
        <w:pStyle w:val="2"/>
        <w:ind w:firstLine="0"/>
        <w:rPr>
          <w:color w:val="auto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附件3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技术参数响应表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湖州师范学院医学院生物医学实验教学中心（医学基础设备）采购项目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XZ2024-037</w:t>
      </w:r>
    </w:p>
    <w:tbl>
      <w:tblPr>
        <w:tblStyle w:val="11"/>
        <w:tblW w:w="10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041"/>
        <w:gridCol w:w="3139"/>
        <w:gridCol w:w="2968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29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2041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名称</w:t>
            </w:r>
          </w:p>
        </w:tc>
        <w:tc>
          <w:tcPr>
            <w:tcW w:w="3139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技术参数需求</w:t>
            </w:r>
          </w:p>
        </w:tc>
        <w:tc>
          <w:tcPr>
            <w:tcW w:w="2968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投标产品技术参数</w:t>
            </w:r>
          </w:p>
        </w:tc>
        <w:tc>
          <w:tcPr>
            <w:tcW w:w="1437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偏离情况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sz w:val="24"/>
              </w:rPr>
              <w:t>人唾液腺组合</w:t>
            </w:r>
          </w:p>
        </w:tc>
        <w:tc>
          <w:tcPr>
            <w:tcW w:w="313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6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...</w:t>
            </w: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...</w:t>
            </w:r>
          </w:p>
        </w:tc>
        <w:tc>
          <w:tcPr>
            <w:tcW w:w="313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...</w:t>
            </w:r>
          </w:p>
        </w:tc>
        <w:tc>
          <w:tcPr>
            <w:tcW w:w="296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注：根据技术参数需求表制作，技术参数存在负偏离作无效标处理。</w:t>
      </w: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ind w:firstLine="5040" w:firstLineChars="2100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2024</w:t>
      </w:r>
      <w:r>
        <w:rPr>
          <w:rFonts w:hint="eastAsia"/>
          <w:color w:val="auto"/>
        </w:rPr>
        <w:t>年   月   日</w:t>
      </w:r>
    </w:p>
    <w:p>
      <w:pPr>
        <w:pStyle w:val="5"/>
        <w:rPr>
          <w:color w:val="auto"/>
        </w:rPr>
      </w:pPr>
    </w:p>
    <w:sectPr>
      <w:pgSz w:w="11906" w:h="16838"/>
      <w:pgMar w:top="1134" w:right="1020" w:bottom="1134" w:left="102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mYTcyMmZiMDk2YzJmNjU0Y2I1YzE5MTg1MjQ0OWQifQ=="/>
  </w:docVars>
  <w:rsids>
    <w:rsidRoot w:val="003021B3"/>
    <w:rsid w:val="0000054B"/>
    <w:rsid w:val="00004BC3"/>
    <w:rsid w:val="00016058"/>
    <w:rsid w:val="00017251"/>
    <w:rsid w:val="000274EC"/>
    <w:rsid w:val="00033134"/>
    <w:rsid w:val="00041704"/>
    <w:rsid w:val="00045A57"/>
    <w:rsid w:val="000529EB"/>
    <w:rsid w:val="00053765"/>
    <w:rsid w:val="00053FAA"/>
    <w:rsid w:val="00067F57"/>
    <w:rsid w:val="00070C1A"/>
    <w:rsid w:val="00071969"/>
    <w:rsid w:val="00073DA5"/>
    <w:rsid w:val="00074A37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E5186"/>
    <w:rsid w:val="000F611C"/>
    <w:rsid w:val="00103DF6"/>
    <w:rsid w:val="00103E96"/>
    <w:rsid w:val="00107645"/>
    <w:rsid w:val="00114986"/>
    <w:rsid w:val="00124959"/>
    <w:rsid w:val="0013413B"/>
    <w:rsid w:val="00142043"/>
    <w:rsid w:val="001424F5"/>
    <w:rsid w:val="00164D28"/>
    <w:rsid w:val="00170EF8"/>
    <w:rsid w:val="001758ED"/>
    <w:rsid w:val="00181813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73490"/>
    <w:rsid w:val="00297367"/>
    <w:rsid w:val="002A4C53"/>
    <w:rsid w:val="002A6B23"/>
    <w:rsid w:val="002A7110"/>
    <w:rsid w:val="002B5C50"/>
    <w:rsid w:val="002C22FC"/>
    <w:rsid w:val="002C5B4A"/>
    <w:rsid w:val="002D47CE"/>
    <w:rsid w:val="002D47DD"/>
    <w:rsid w:val="002D5E52"/>
    <w:rsid w:val="002E558C"/>
    <w:rsid w:val="002F1D2C"/>
    <w:rsid w:val="003021B3"/>
    <w:rsid w:val="00312E86"/>
    <w:rsid w:val="003154AB"/>
    <w:rsid w:val="00316E95"/>
    <w:rsid w:val="00324436"/>
    <w:rsid w:val="003249F3"/>
    <w:rsid w:val="0033168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93E06"/>
    <w:rsid w:val="003B2A77"/>
    <w:rsid w:val="003B6995"/>
    <w:rsid w:val="003C19D7"/>
    <w:rsid w:val="003C2DA7"/>
    <w:rsid w:val="003E6487"/>
    <w:rsid w:val="00407F40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1F18"/>
    <w:rsid w:val="004C72AD"/>
    <w:rsid w:val="004D1DF2"/>
    <w:rsid w:val="004E6DF2"/>
    <w:rsid w:val="004F36E3"/>
    <w:rsid w:val="00503C41"/>
    <w:rsid w:val="005269E8"/>
    <w:rsid w:val="00535608"/>
    <w:rsid w:val="00542203"/>
    <w:rsid w:val="00542BC8"/>
    <w:rsid w:val="00554F5C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2C25"/>
    <w:rsid w:val="005F629A"/>
    <w:rsid w:val="005F62AB"/>
    <w:rsid w:val="005F6475"/>
    <w:rsid w:val="006003D1"/>
    <w:rsid w:val="00607785"/>
    <w:rsid w:val="00611B8C"/>
    <w:rsid w:val="00614DC6"/>
    <w:rsid w:val="00640E94"/>
    <w:rsid w:val="00646617"/>
    <w:rsid w:val="0066689D"/>
    <w:rsid w:val="00666CBF"/>
    <w:rsid w:val="00670E5E"/>
    <w:rsid w:val="00671345"/>
    <w:rsid w:val="0067278C"/>
    <w:rsid w:val="006727CA"/>
    <w:rsid w:val="00680034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2EF9"/>
    <w:rsid w:val="00735C38"/>
    <w:rsid w:val="00736AE9"/>
    <w:rsid w:val="00740808"/>
    <w:rsid w:val="00742BA7"/>
    <w:rsid w:val="00745CE3"/>
    <w:rsid w:val="007472C6"/>
    <w:rsid w:val="007502F8"/>
    <w:rsid w:val="00751E56"/>
    <w:rsid w:val="00762744"/>
    <w:rsid w:val="00767AA4"/>
    <w:rsid w:val="0077285A"/>
    <w:rsid w:val="00776764"/>
    <w:rsid w:val="00777DF7"/>
    <w:rsid w:val="00792A46"/>
    <w:rsid w:val="00793139"/>
    <w:rsid w:val="007A360D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3C37"/>
    <w:rsid w:val="0083698A"/>
    <w:rsid w:val="00844C36"/>
    <w:rsid w:val="00847624"/>
    <w:rsid w:val="00853385"/>
    <w:rsid w:val="00855F6E"/>
    <w:rsid w:val="00864C9B"/>
    <w:rsid w:val="00872B4B"/>
    <w:rsid w:val="008809F5"/>
    <w:rsid w:val="00884B96"/>
    <w:rsid w:val="00896AD5"/>
    <w:rsid w:val="008A05B8"/>
    <w:rsid w:val="008A125F"/>
    <w:rsid w:val="008B4898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93F49"/>
    <w:rsid w:val="009A510E"/>
    <w:rsid w:val="009A6DB0"/>
    <w:rsid w:val="009A7962"/>
    <w:rsid w:val="009B02A9"/>
    <w:rsid w:val="009B2EAF"/>
    <w:rsid w:val="009B6DA6"/>
    <w:rsid w:val="009C1307"/>
    <w:rsid w:val="009C2C4C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5C38"/>
    <w:rsid w:val="00A8709D"/>
    <w:rsid w:val="00AA5D65"/>
    <w:rsid w:val="00AC513F"/>
    <w:rsid w:val="00AC57FC"/>
    <w:rsid w:val="00AD31DA"/>
    <w:rsid w:val="00AD439C"/>
    <w:rsid w:val="00AD6B82"/>
    <w:rsid w:val="00AE10F0"/>
    <w:rsid w:val="00AE3BD7"/>
    <w:rsid w:val="00AE3CAF"/>
    <w:rsid w:val="00AF122E"/>
    <w:rsid w:val="00AF2DA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67B3E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1C15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496D"/>
    <w:rsid w:val="00C45B1C"/>
    <w:rsid w:val="00C51B6C"/>
    <w:rsid w:val="00C51BFF"/>
    <w:rsid w:val="00C51ECD"/>
    <w:rsid w:val="00C555A3"/>
    <w:rsid w:val="00C64054"/>
    <w:rsid w:val="00C6760E"/>
    <w:rsid w:val="00C733FD"/>
    <w:rsid w:val="00C82125"/>
    <w:rsid w:val="00C85DA4"/>
    <w:rsid w:val="00C87338"/>
    <w:rsid w:val="00C91A67"/>
    <w:rsid w:val="00C9740E"/>
    <w:rsid w:val="00CA04EA"/>
    <w:rsid w:val="00CA0E12"/>
    <w:rsid w:val="00CB2B7F"/>
    <w:rsid w:val="00CB4182"/>
    <w:rsid w:val="00CB5A49"/>
    <w:rsid w:val="00CB6042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A686E"/>
    <w:rsid w:val="00DB25AF"/>
    <w:rsid w:val="00DD4903"/>
    <w:rsid w:val="00DE0174"/>
    <w:rsid w:val="00DE0995"/>
    <w:rsid w:val="00DE3AF7"/>
    <w:rsid w:val="00DF48F9"/>
    <w:rsid w:val="00DF5FCF"/>
    <w:rsid w:val="00E02889"/>
    <w:rsid w:val="00E120BA"/>
    <w:rsid w:val="00E15D8A"/>
    <w:rsid w:val="00E16462"/>
    <w:rsid w:val="00E2416C"/>
    <w:rsid w:val="00E305F3"/>
    <w:rsid w:val="00E36285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13F0"/>
    <w:rsid w:val="00F2641B"/>
    <w:rsid w:val="00F26BB2"/>
    <w:rsid w:val="00F32C48"/>
    <w:rsid w:val="00F54AD8"/>
    <w:rsid w:val="00F66634"/>
    <w:rsid w:val="00F81546"/>
    <w:rsid w:val="00F83187"/>
    <w:rsid w:val="00FA3255"/>
    <w:rsid w:val="00FA410B"/>
    <w:rsid w:val="00FA5BA2"/>
    <w:rsid w:val="00FA7ECF"/>
    <w:rsid w:val="00FB1E64"/>
    <w:rsid w:val="00FB5C19"/>
    <w:rsid w:val="00FB6783"/>
    <w:rsid w:val="00FC379E"/>
    <w:rsid w:val="00FC4D9D"/>
    <w:rsid w:val="00FD1507"/>
    <w:rsid w:val="00FD1F04"/>
    <w:rsid w:val="00FF513B"/>
    <w:rsid w:val="00FF654E"/>
    <w:rsid w:val="00FF76BD"/>
    <w:rsid w:val="0194449E"/>
    <w:rsid w:val="01EB1F65"/>
    <w:rsid w:val="02253189"/>
    <w:rsid w:val="02291B0C"/>
    <w:rsid w:val="023B5846"/>
    <w:rsid w:val="033E16C0"/>
    <w:rsid w:val="03635531"/>
    <w:rsid w:val="041C05BB"/>
    <w:rsid w:val="04554790"/>
    <w:rsid w:val="04856475"/>
    <w:rsid w:val="04BE0603"/>
    <w:rsid w:val="04E1132E"/>
    <w:rsid w:val="07FF49AA"/>
    <w:rsid w:val="083258FA"/>
    <w:rsid w:val="093D6C97"/>
    <w:rsid w:val="0A404DE6"/>
    <w:rsid w:val="0AA72DDB"/>
    <w:rsid w:val="0C8C0A75"/>
    <w:rsid w:val="0CB23EC2"/>
    <w:rsid w:val="0D8D05D5"/>
    <w:rsid w:val="0E704CDD"/>
    <w:rsid w:val="0EDE3359"/>
    <w:rsid w:val="111C745A"/>
    <w:rsid w:val="11721FDD"/>
    <w:rsid w:val="1190647B"/>
    <w:rsid w:val="12F31EF2"/>
    <w:rsid w:val="133A347D"/>
    <w:rsid w:val="139242E9"/>
    <w:rsid w:val="13A21851"/>
    <w:rsid w:val="143C2E54"/>
    <w:rsid w:val="14DE5154"/>
    <w:rsid w:val="14F90DB5"/>
    <w:rsid w:val="161A7DAE"/>
    <w:rsid w:val="17DF0739"/>
    <w:rsid w:val="180E5252"/>
    <w:rsid w:val="19257662"/>
    <w:rsid w:val="195A0741"/>
    <w:rsid w:val="1C2E7B27"/>
    <w:rsid w:val="1C642F39"/>
    <w:rsid w:val="1D126DCC"/>
    <w:rsid w:val="1D3C5034"/>
    <w:rsid w:val="1F4633B6"/>
    <w:rsid w:val="1FDD1DEC"/>
    <w:rsid w:val="22355B1C"/>
    <w:rsid w:val="22AE5EF6"/>
    <w:rsid w:val="22DD7FD0"/>
    <w:rsid w:val="242C7FCF"/>
    <w:rsid w:val="25823B8B"/>
    <w:rsid w:val="2658485C"/>
    <w:rsid w:val="273267AE"/>
    <w:rsid w:val="28312778"/>
    <w:rsid w:val="289D78E7"/>
    <w:rsid w:val="29352AE1"/>
    <w:rsid w:val="2A0C39C4"/>
    <w:rsid w:val="2A5C6402"/>
    <w:rsid w:val="2B660062"/>
    <w:rsid w:val="2CD62A7A"/>
    <w:rsid w:val="2D885BE3"/>
    <w:rsid w:val="2F183464"/>
    <w:rsid w:val="2FA37D62"/>
    <w:rsid w:val="3080083E"/>
    <w:rsid w:val="30CF63E4"/>
    <w:rsid w:val="31104361"/>
    <w:rsid w:val="319A7B95"/>
    <w:rsid w:val="325651D2"/>
    <w:rsid w:val="32883C32"/>
    <w:rsid w:val="33E82472"/>
    <w:rsid w:val="34CA09B9"/>
    <w:rsid w:val="35E957AA"/>
    <w:rsid w:val="365F59E0"/>
    <w:rsid w:val="38206741"/>
    <w:rsid w:val="38687442"/>
    <w:rsid w:val="395E1740"/>
    <w:rsid w:val="3B233FB1"/>
    <w:rsid w:val="3C1C5C1D"/>
    <w:rsid w:val="3E236A2A"/>
    <w:rsid w:val="3E3901C8"/>
    <w:rsid w:val="3EF25A44"/>
    <w:rsid w:val="3F83384A"/>
    <w:rsid w:val="42292600"/>
    <w:rsid w:val="430943F2"/>
    <w:rsid w:val="4385630B"/>
    <w:rsid w:val="444F07B9"/>
    <w:rsid w:val="44AF77AE"/>
    <w:rsid w:val="4554739E"/>
    <w:rsid w:val="47C15E0F"/>
    <w:rsid w:val="488976ED"/>
    <w:rsid w:val="48E61849"/>
    <w:rsid w:val="48F57FE5"/>
    <w:rsid w:val="4925491A"/>
    <w:rsid w:val="49BFFC57"/>
    <w:rsid w:val="4A7E5397"/>
    <w:rsid w:val="4C277E96"/>
    <w:rsid w:val="4D496342"/>
    <w:rsid w:val="4E811C1C"/>
    <w:rsid w:val="4EFF0C80"/>
    <w:rsid w:val="51120FA7"/>
    <w:rsid w:val="51935DFF"/>
    <w:rsid w:val="519F0F3D"/>
    <w:rsid w:val="51DC4E1F"/>
    <w:rsid w:val="51E729F4"/>
    <w:rsid w:val="52290DE8"/>
    <w:rsid w:val="54474C11"/>
    <w:rsid w:val="5510702B"/>
    <w:rsid w:val="56F207E7"/>
    <w:rsid w:val="56FD7D23"/>
    <w:rsid w:val="57F90557"/>
    <w:rsid w:val="59D82B5A"/>
    <w:rsid w:val="5A4C6962"/>
    <w:rsid w:val="5A6D5DB8"/>
    <w:rsid w:val="5B0028D0"/>
    <w:rsid w:val="5BA56767"/>
    <w:rsid w:val="5C317C44"/>
    <w:rsid w:val="5C4F69D3"/>
    <w:rsid w:val="5D4C51B4"/>
    <w:rsid w:val="5E5643D0"/>
    <w:rsid w:val="603612D4"/>
    <w:rsid w:val="60655C70"/>
    <w:rsid w:val="61026C5E"/>
    <w:rsid w:val="614E25DE"/>
    <w:rsid w:val="61981217"/>
    <w:rsid w:val="6354294F"/>
    <w:rsid w:val="63753E82"/>
    <w:rsid w:val="63D70224"/>
    <w:rsid w:val="64061022"/>
    <w:rsid w:val="64F32B07"/>
    <w:rsid w:val="656B7EBC"/>
    <w:rsid w:val="673B45A6"/>
    <w:rsid w:val="685271EB"/>
    <w:rsid w:val="6AB20490"/>
    <w:rsid w:val="6AC72815"/>
    <w:rsid w:val="6B223264"/>
    <w:rsid w:val="6B936C40"/>
    <w:rsid w:val="6BE33577"/>
    <w:rsid w:val="6BF07692"/>
    <w:rsid w:val="6C1902DF"/>
    <w:rsid w:val="6D491B4B"/>
    <w:rsid w:val="6D4B3F62"/>
    <w:rsid w:val="6D8C226A"/>
    <w:rsid w:val="6FE21E08"/>
    <w:rsid w:val="711A6DEF"/>
    <w:rsid w:val="71D716EC"/>
    <w:rsid w:val="71E2193F"/>
    <w:rsid w:val="727260AA"/>
    <w:rsid w:val="72761988"/>
    <w:rsid w:val="73315FFB"/>
    <w:rsid w:val="73C0648F"/>
    <w:rsid w:val="74DC0DB8"/>
    <w:rsid w:val="76D52313"/>
    <w:rsid w:val="7716637C"/>
    <w:rsid w:val="77572FC9"/>
    <w:rsid w:val="777B50F3"/>
    <w:rsid w:val="79A25F21"/>
    <w:rsid w:val="79EA4484"/>
    <w:rsid w:val="7ADC497B"/>
    <w:rsid w:val="7B56228A"/>
    <w:rsid w:val="7CE74AAA"/>
    <w:rsid w:val="7EED217B"/>
    <w:rsid w:val="7F0C2938"/>
    <w:rsid w:val="7F954407"/>
    <w:rsid w:val="7FAB23FC"/>
    <w:rsid w:val="7FADC4D4"/>
    <w:rsid w:val="BFF93F7F"/>
    <w:rsid w:val="F17FB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40"/>
    </w:pPr>
    <w:rPr>
      <w:sz w:val="28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 2"/>
    <w:basedOn w:val="1"/>
    <w:link w:val="19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0"/>
    <w:rPr>
      <w:b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正文文本缩进 2 Char1"/>
    <w:basedOn w:val="13"/>
    <w:link w:val="6"/>
    <w:qFormat/>
    <w:locked/>
    <w:uiPriority w:val="99"/>
    <w:rPr>
      <w:rFonts w:ascii="Calibri" w:hAnsi="Calibri" w:eastAsia="宋体"/>
      <w:sz w:val="24"/>
    </w:rPr>
  </w:style>
  <w:style w:type="character" w:customStyle="1" w:styleId="20">
    <w:name w:val="批注框文本 Char"/>
    <w:basedOn w:val="13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basedOn w:val="13"/>
    <w:link w:val="9"/>
    <w:semiHidden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正文文本缩进 2 Char"/>
    <w:basedOn w:val="13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3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55">
    <w:name w:val="font41"/>
    <w:basedOn w:val="1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6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8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9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4780</Words>
  <Characters>5316</Characters>
  <Lines>41</Lines>
  <Paragraphs>11</Paragraphs>
  <TotalTime>1</TotalTime>
  <ScaleCrop>false</ScaleCrop>
  <LinksUpToDate>false</LinksUpToDate>
  <CharactersWithSpaces>5378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2024-04-15T10:02:00Z</dcterms:created>
  <dc:creator>admin</dc:creator>
  <cp:lastModifiedBy>叫我小强好了</cp:lastModifiedBy>
  <cp:lastPrinted>2023-05-29T10:19:00Z</cp:lastPrinted>
  <dcterms:modified xsi:type="dcterms:W3CDTF">2024-05-23T00:21:45Z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E81BAA5A9B2442E28384E72BCA380706_13</vt:lpwstr>
  </property>
</Properties>
</file>