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pacing w:val="-30"/>
          <w:sz w:val="36"/>
          <w:szCs w:val="36"/>
          <w:lang w:eastAsia="zh-CN"/>
        </w:rPr>
      </w:pPr>
      <w:r>
        <w:rPr>
          <w:rFonts w:hint="eastAsia" w:asciiTheme="majorEastAsia" w:hAnsiTheme="majorEastAsia" w:eastAsiaTheme="majorEastAsia"/>
          <w:b/>
          <w:color w:val="000000" w:themeColor="text1"/>
          <w:spacing w:val="-30"/>
          <w:sz w:val="36"/>
          <w:szCs w:val="36"/>
          <w:lang w:eastAsia="zh-CN"/>
        </w:rPr>
        <w:t>湖州师范学院体育学院运动人体科学实验室体育器材采购项目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lang w:eastAsia="zh-CN"/>
        </w:rPr>
        <w:t>湖州师范学院体育学院运动人体科学实验室体育器材采购项目</w:t>
      </w:r>
    </w:p>
    <w:p>
      <w:pPr>
        <w:ind w:firstLine="480" w:firstLineChars="200"/>
        <w:jc w:val="left"/>
        <w:rPr>
          <w:rFonts w:hint="eastAsia" w:ascii="仿宋" w:hAnsi="仿宋" w:eastAsia="仿宋" w:cs="Times New Roman"/>
          <w:color w:val="000000" w:themeColor="text1"/>
          <w:sz w:val="24"/>
          <w:szCs w:val="24"/>
          <w:lang w:val="en-US" w:eastAsia="zh-CN"/>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lang w:eastAsia="zh-CN"/>
        </w:rPr>
        <w:t>XZ2020-154</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jc w:val="both"/>
        <w:rPr>
          <w:rFonts w:hint="eastAsia" w:ascii="仿宋" w:hAnsi="仿宋" w:eastAsia="仿宋"/>
          <w:color w:val="000000" w:themeColor="text1"/>
          <w:sz w:val="24"/>
          <w:lang w:eastAsia="zh-CN"/>
        </w:rPr>
      </w:pPr>
      <w:r>
        <w:rPr>
          <w:rFonts w:hint="eastAsia" w:ascii="仿宋" w:hAnsi="仿宋" w:eastAsia="仿宋" w:cs="Times New Roman"/>
          <w:color w:val="000000" w:themeColor="text1"/>
          <w:sz w:val="24"/>
          <w:szCs w:val="24"/>
        </w:rPr>
        <w:t>5.采购预算：</w:t>
      </w:r>
      <w:r>
        <w:rPr>
          <w:rFonts w:hint="eastAsia" w:ascii="仿宋" w:hAnsi="仿宋" w:eastAsia="仿宋"/>
          <w:sz w:val="24"/>
          <w:lang w:eastAsia="zh-CN"/>
        </w:rPr>
        <w:t>人民币捌万零伍佰元整（￥</w:t>
      </w:r>
      <w:r>
        <w:rPr>
          <w:rFonts w:hint="eastAsia" w:ascii="仿宋" w:hAnsi="仿宋" w:eastAsia="仿宋"/>
          <w:sz w:val="24"/>
          <w:lang w:val="en-US" w:eastAsia="zh-CN"/>
        </w:rPr>
        <w:t>80</w:t>
      </w:r>
      <w:r>
        <w:rPr>
          <w:rFonts w:hint="eastAsia" w:ascii="仿宋" w:hAnsi="仿宋" w:eastAsia="仿宋"/>
          <w:sz w:val="24"/>
          <w:lang w:eastAsia="zh-CN"/>
        </w:rPr>
        <w:t>500.00元）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9"/>
        <w:tblW w:w="82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58"/>
        <w:gridCol w:w="1784"/>
        <w:gridCol w:w="2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8" w:type="dxa"/>
            <w:vAlign w:val="center"/>
          </w:tcPr>
          <w:p>
            <w:pPr>
              <w:jc w:val="center"/>
              <w:rPr>
                <w:rFonts w:ascii="仿宋" w:hAnsi="仿宋" w:eastAsia="仿宋"/>
                <w:b/>
                <w:sz w:val="24"/>
              </w:rPr>
            </w:pPr>
            <w:r>
              <w:rPr>
                <w:rFonts w:hint="eastAsia" w:ascii="仿宋" w:hAnsi="仿宋" w:eastAsia="仿宋"/>
                <w:b/>
                <w:sz w:val="24"/>
              </w:rPr>
              <w:t>项目名称</w:t>
            </w:r>
          </w:p>
        </w:tc>
        <w:tc>
          <w:tcPr>
            <w:tcW w:w="1784" w:type="dxa"/>
            <w:vAlign w:val="center"/>
          </w:tcPr>
          <w:p>
            <w:pPr>
              <w:jc w:val="center"/>
              <w:rPr>
                <w:rFonts w:ascii="仿宋" w:hAnsi="仿宋" w:eastAsia="仿宋"/>
                <w:b/>
                <w:sz w:val="24"/>
              </w:rPr>
            </w:pPr>
            <w:r>
              <w:rPr>
                <w:rFonts w:hint="eastAsia" w:ascii="仿宋" w:hAnsi="仿宋" w:eastAsia="仿宋"/>
                <w:b/>
                <w:sz w:val="24"/>
              </w:rPr>
              <w:t>采购数量</w:t>
            </w:r>
          </w:p>
        </w:tc>
        <w:tc>
          <w:tcPr>
            <w:tcW w:w="2791" w:type="dxa"/>
            <w:vAlign w:val="center"/>
          </w:tcPr>
          <w:p>
            <w:pPr>
              <w:jc w:val="center"/>
              <w:rPr>
                <w:rFonts w:hint="eastAsia" w:ascii="仿宋" w:hAnsi="仿宋" w:eastAsia="仿宋"/>
                <w:b/>
                <w:sz w:val="24"/>
                <w:lang w:eastAsia="zh-CN"/>
              </w:rPr>
            </w:pPr>
            <w:r>
              <w:rPr>
                <w:rFonts w:hint="eastAsia" w:ascii="仿宋" w:hAnsi="仿宋" w:eastAsia="仿宋"/>
                <w:b/>
                <w:sz w:val="24"/>
                <w:lang w:eastAsia="zh-CN"/>
              </w:rPr>
              <w:t>具体采购需求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8" w:type="dxa"/>
            <w:vAlign w:val="center"/>
          </w:tcPr>
          <w:p>
            <w:pPr>
              <w:jc w:val="center"/>
              <w:rPr>
                <w:rFonts w:hint="eastAsia" w:ascii="仿宋" w:hAnsi="仿宋" w:eastAsia="仿宋"/>
                <w:sz w:val="24"/>
                <w:lang w:eastAsia="zh-CN"/>
              </w:rPr>
            </w:pPr>
            <w:r>
              <w:rPr>
                <w:rFonts w:hint="eastAsia" w:ascii="仿宋" w:hAnsi="仿宋" w:eastAsia="仿宋"/>
                <w:sz w:val="24"/>
                <w:szCs w:val="24"/>
                <w:lang w:eastAsia="zh-CN"/>
              </w:rPr>
              <w:t>湖州师范学院体育学院运动人体科学实验室体育器材采购项目</w:t>
            </w:r>
          </w:p>
        </w:tc>
        <w:tc>
          <w:tcPr>
            <w:tcW w:w="1784" w:type="dxa"/>
            <w:vAlign w:val="center"/>
          </w:tcPr>
          <w:p>
            <w:pPr>
              <w:jc w:val="center"/>
              <w:rPr>
                <w:rFonts w:hint="eastAsia" w:ascii="仿宋" w:hAnsi="仿宋" w:eastAsia="仿宋"/>
                <w:sz w:val="24"/>
                <w:lang w:val="en-US" w:eastAsia="zh-CN"/>
              </w:rPr>
            </w:pPr>
            <w:r>
              <w:rPr>
                <w:rFonts w:hint="eastAsia" w:ascii="仿宋" w:hAnsi="仿宋" w:eastAsia="仿宋"/>
                <w:b/>
                <w:bCs/>
                <w:sz w:val="24"/>
                <w:szCs w:val="24"/>
                <w:lang w:val="en-US" w:eastAsia="zh-CN"/>
              </w:rPr>
              <w:t>1项</w:t>
            </w:r>
          </w:p>
        </w:tc>
        <w:tc>
          <w:tcPr>
            <w:tcW w:w="2791" w:type="dxa"/>
            <w:vAlign w:val="center"/>
          </w:tcPr>
          <w:p>
            <w:pPr>
              <w:jc w:val="center"/>
              <w:rPr>
                <w:rFonts w:hint="default" w:ascii="仿宋" w:hAnsi="仿宋" w:eastAsia="仿宋"/>
                <w:sz w:val="24"/>
                <w:lang w:val="en-US" w:eastAsia="zh-CN"/>
              </w:rPr>
            </w:pPr>
            <w:r>
              <w:rPr>
                <w:rFonts w:hint="eastAsia" w:ascii="仿宋" w:hAnsi="仿宋" w:eastAsia="仿宋"/>
                <w:b/>
                <w:bCs/>
                <w:sz w:val="24"/>
                <w:lang w:eastAsia="zh-CN"/>
              </w:rPr>
              <w:t>详</w:t>
            </w:r>
            <w:r>
              <w:rPr>
                <w:rFonts w:hint="eastAsia" w:ascii="仿宋" w:hAnsi="仿宋" w:eastAsia="仿宋"/>
                <w:b/>
                <w:bCs/>
                <w:sz w:val="24"/>
                <w:lang w:val="en-US" w:eastAsia="zh-CN"/>
              </w:rPr>
              <w:t>见附件1</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r>
        <w:rPr>
          <w:rFonts w:hint="eastAsia" w:ascii="仿宋" w:hAnsi="仿宋" w:eastAsia="仿宋" w:cs="Times New Roman"/>
          <w:b/>
          <w:color w:val="000000" w:themeColor="text1"/>
          <w:sz w:val="24"/>
          <w:szCs w:val="24"/>
        </w:rPr>
        <w:t>采购预算为最高限价，投标人报价超出采购预算为无效报价。▲技术参数为不可偏离指标，负偏离作无效标处理。</w:t>
      </w:r>
    </w:p>
    <w:p>
      <w:pPr>
        <w:spacing w:line="240" w:lineRule="auto"/>
        <w:ind w:firstLine="482" w:firstLineChars="200"/>
        <w:rPr>
          <w:rFonts w:hint="eastAsia" w:ascii="仿宋" w:hAnsi="仿宋" w:eastAsia="仿宋"/>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本项目采购预算合</w:t>
      </w:r>
      <w:r>
        <w:rPr>
          <w:rFonts w:hint="eastAsia" w:ascii="仿宋" w:hAnsi="仿宋" w:eastAsia="仿宋"/>
          <w:b/>
          <w:color w:val="000000" w:themeColor="text1"/>
          <w:sz w:val="24"/>
          <w:szCs w:val="24"/>
          <w:lang w:eastAsia="zh-CN"/>
        </w:rPr>
        <w:t>包含</w:t>
      </w:r>
      <w:r>
        <w:rPr>
          <w:rFonts w:hint="eastAsia" w:ascii="仿宋" w:hAnsi="仿宋" w:eastAsia="仿宋"/>
          <w:b/>
          <w:color w:val="000000" w:themeColor="text1"/>
          <w:sz w:val="24"/>
          <w:szCs w:val="24"/>
        </w:rPr>
        <w:t>税金、</w:t>
      </w:r>
      <w:r>
        <w:rPr>
          <w:rFonts w:hint="eastAsia" w:ascii="仿宋" w:hAnsi="仿宋" w:eastAsia="仿宋"/>
          <w:b/>
          <w:color w:val="000000" w:themeColor="text1"/>
          <w:sz w:val="24"/>
          <w:szCs w:val="24"/>
          <w:lang w:eastAsia="zh-CN"/>
        </w:rPr>
        <w:t>服务、咨询、配件、</w:t>
      </w:r>
      <w:r>
        <w:rPr>
          <w:rFonts w:hint="eastAsia" w:ascii="仿宋" w:hAnsi="仿宋" w:eastAsia="仿宋"/>
          <w:b/>
          <w:color w:val="000000" w:themeColor="text1"/>
          <w:sz w:val="24"/>
          <w:szCs w:val="24"/>
        </w:rPr>
        <w:t>运输、加工、装卸、</w:t>
      </w:r>
      <w:r>
        <w:rPr>
          <w:rFonts w:hint="eastAsia" w:ascii="仿宋" w:hAnsi="仿宋" w:eastAsia="仿宋"/>
          <w:b/>
          <w:color w:val="000000" w:themeColor="text1"/>
          <w:sz w:val="24"/>
          <w:szCs w:val="24"/>
          <w:lang w:eastAsia="zh-CN"/>
        </w:rPr>
        <w:t>安装、调试</w:t>
      </w:r>
      <w:r>
        <w:rPr>
          <w:rFonts w:hint="eastAsia" w:ascii="仿宋" w:hAnsi="仿宋" w:eastAsia="仿宋"/>
          <w:b/>
          <w:color w:val="000000" w:themeColor="text1"/>
          <w:sz w:val="24"/>
          <w:szCs w:val="24"/>
        </w:rPr>
        <w:t>及售后服务等一切费用。</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auto"/>
          <w:sz w:val="24"/>
          <w:szCs w:val="24"/>
        </w:rPr>
      </w:pPr>
      <w:r>
        <w:rPr>
          <w:rFonts w:hint="eastAsia" w:ascii="仿宋" w:hAnsi="仿宋" w:eastAsia="仿宋"/>
          <w:b/>
          <w:color w:val="000000" w:themeColor="text1"/>
          <w:sz w:val="24"/>
          <w:szCs w:val="24"/>
        </w:rPr>
        <w:t>注</w:t>
      </w:r>
      <w:r>
        <w:rPr>
          <w:rFonts w:hint="eastAsia" w:ascii="仿宋" w:hAnsi="仿宋" w:eastAsia="仿宋"/>
          <w:b/>
          <w:color w:val="000000" w:themeColor="text1"/>
          <w:sz w:val="24"/>
          <w:szCs w:val="24"/>
          <w:lang w:val="en-US" w:eastAsia="zh-CN"/>
        </w:rPr>
        <w:t>3</w:t>
      </w:r>
      <w:r>
        <w:rPr>
          <w:rFonts w:hint="eastAsia" w:ascii="仿宋" w:hAnsi="仿宋" w:eastAsia="仿宋"/>
          <w:b/>
          <w:color w:val="000000" w:themeColor="text1"/>
          <w:sz w:val="24"/>
          <w:szCs w:val="24"/>
        </w:rPr>
        <w:t>：产品必须是符合国家质量标准及安全标准的全新合格产品。</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 w:hAnsi="仿宋" w:eastAsia="仿宋"/>
          <w:b/>
          <w:color w:val="auto"/>
          <w:sz w:val="24"/>
          <w:szCs w:val="24"/>
        </w:rPr>
      </w:pPr>
      <w:r>
        <w:rPr>
          <w:rFonts w:hint="eastAsia" w:ascii="仿宋" w:hAnsi="仿宋" w:eastAsia="仿宋"/>
          <w:b/>
          <w:color w:val="auto"/>
          <w:sz w:val="24"/>
          <w:szCs w:val="24"/>
        </w:rPr>
        <w:t>注</w:t>
      </w:r>
      <w:r>
        <w:rPr>
          <w:rFonts w:hint="eastAsia" w:ascii="仿宋" w:hAnsi="仿宋" w:eastAsia="仿宋"/>
          <w:b/>
          <w:color w:val="auto"/>
          <w:sz w:val="24"/>
          <w:szCs w:val="24"/>
          <w:lang w:val="en-US" w:eastAsia="zh-CN"/>
        </w:rPr>
        <w:t>4</w:t>
      </w:r>
      <w:r>
        <w:rPr>
          <w:rFonts w:hint="eastAsia" w:ascii="仿宋" w:hAnsi="仿宋" w:eastAsia="仿宋"/>
          <w:b/>
          <w:color w:val="auto"/>
          <w:sz w:val="24"/>
          <w:szCs w:val="24"/>
        </w:rPr>
        <w:t>：</w:t>
      </w:r>
      <w:r>
        <w:rPr>
          <w:rFonts w:hint="eastAsia" w:ascii="仿宋" w:hAnsi="仿宋" w:eastAsia="仿宋"/>
          <w:b/>
          <w:color w:val="auto"/>
          <w:sz w:val="24"/>
          <w:szCs w:val="24"/>
          <w:lang w:eastAsia="zh-CN"/>
        </w:rPr>
        <w:t>如需</w:t>
      </w:r>
      <w:r>
        <w:rPr>
          <w:rFonts w:hint="eastAsia" w:ascii="仿宋" w:hAnsi="仿宋" w:eastAsia="仿宋"/>
          <w:b/>
          <w:color w:val="auto"/>
          <w:sz w:val="24"/>
          <w:szCs w:val="24"/>
        </w:rPr>
        <w:t>项目安装施工</w:t>
      </w:r>
      <w:r>
        <w:rPr>
          <w:rFonts w:hint="eastAsia" w:ascii="仿宋" w:hAnsi="仿宋" w:eastAsia="仿宋"/>
          <w:b/>
          <w:color w:val="auto"/>
          <w:sz w:val="24"/>
          <w:szCs w:val="24"/>
          <w:lang w:eastAsia="zh-CN"/>
        </w:rPr>
        <w:t>的，相关工</w:t>
      </w:r>
      <w:r>
        <w:rPr>
          <w:rFonts w:hint="eastAsia" w:ascii="仿宋" w:hAnsi="仿宋" w:eastAsia="仿宋"/>
          <w:b/>
          <w:color w:val="auto"/>
          <w:sz w:val="24"/>
          <w:szCs w:val="24"/>
        </w:rPr>
        <w:t>人必须按照国家相关规定持证上岗，如因无证上岗引起的安全事故由中标人承担全部法律责任。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auto"/>
          <w:sz w:val="24"/>
          <w:szCs w:val="24"/>
        </w:rPr>
      </w:pPr>
      <w:r>
        <w:rPr>
          <w:rFonts w:hint="eastAsia" w:ascii="仿宋" w:hAnsi="仿宋" w:eastAsia="仿宋"/>
          <w:b/>
          <w:color w:val="auto"/>
          <w:sz w:val="24"/>
          <w:szCs w:val="24"/>
        </w:rPr>
        <w:t>二、投标文件要求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000000" w:themeColor="text1"/>
          <w:sz w:val="24"/>
          <w:szCs w:val="24"/>
        </w:rPr>
      </w:pPr>
      <w:r>
        <w:rPr>
          <w:rFonts w:hint="eastAsia" w:ascii="仿宋" w:hAnsi="仿宋" w:eastAsia="仿宋"/>
          <w:color w:val="000000" w:themeColor="text1"/>
          <w:sz w:val="24"/>
          <w:szCs w:val="24"/>
        </w:rPr>
        <w:t>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color w:val="000000" w:themeColor="text1"/>
          <w:sz w:val="24"/>
          <w:szCs w:val="24"/>
          <w:lang w:eastAsia="zh-CN"/>
        </w:rPr>
        <w:t>见附件</w:t>
      </w:r>
      <w:r>
        <w:rPr>
          <w:rFonts w:hint="eastAsia" w:ascii="仿宋" w:hAnsi="仿宋" w:eastAsia="仿宋"/>
          <w:color w:val="000000" w:themeColor="text1"/>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.其他相关证明材料</w:t>
      </w:r>
      <w:r>
        <w:rPr>
          <w:rFonts w:hint="eastAsia" w:ascii="仿宋" w:hAnsi="仿宋" w:eastAsia="仿宋" w:cs="仿宋_GB2312"/>
          <w:color w:val="000000" w:themeColor="text1"/>
          <w:sz w:val="24"/>
        </w:rPr>
        <w:t>（</w:t>
      </w:r>
      <w:r>
        <w:rPr>
          <w:rFonts w:hint="eastAsia" w:ascii="仿宋" w:hAnsi="仿宋" w:eastAsia="仿宋" w:cs="仿宋_GB2312"/>
          <w:color w:val="000000" w:themeColor="text1"/>
          <w:sz w:val="24"/>
          <w:lang w:eastAsia="zh-CN"/>
        </w:rPr>
        <w:t>如</w:t>
      </w:r>
      <w:r>
        <w:rPr>
          <w:rFonts w:hint="eastAsia" w:ascii="仿宋" w:hAnsi="仿宋" w:eastAsia="仿宋" w:cs="仿宋_GB2312"/>
          <w:color w:val="000000" w:themeColor="text1"/>
          <w:sz w:val="24"/>
          <w:lang w:val="en-US" w:eastAsia="zh-CN"/>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7</w:t>
      </w:r>
      <w:r>
        <w:rPr>
          <w:rFonts w:hint="eastAsia" w:ascii="仿宋" w:hAnsi="仿宋" w:eastAsia="仿宋"/>
          <w:color w:val="000000" w:themeColor="text1"/>
          <w:sz w:val="24"/>
          <w:szCs w:val="24"/>
        </w:rPr>
        <w:t>.</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1.开标时间：2020年</w:t>
      </w:r>
      <w:r>
        <w:rPr>
          <w:rFonts w:hint="eastAsia" w:ascii="仿宋" w:hAnsi="仿宋" w:eastAsia="仿宋"/>
          <w:color w:val="000000" w:themeColor="text1"/>
          <w:sz w:val="24"/>
          <w:szCs w:val="24"/>
          <w:lang w:val="en-US" w:eastAsia="zh-CN"/>
        </w:rPr>
        <w:t>11</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23</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lang w:eastAsia="zh-CN"/>
        </w:rPr>
        <w:t>下午</w:t>
      </w:r>
      <w:r>
        <w:rPr>
          <w:rFonts w:hint="eastAsia" w:ascii="仿宋" w:hAnsi="仿宋" w:eastAsia="仿宋"/>
          <w:color w:val="000000" w:themeColor="text1"/>
          <w:sz w:val="24"/>
          <w:szCs w:val="24"/>
        </w:rPr>
        <w:t>1</w:t>
      </w:r>
      <w:r>
        <w:rPr>
          <w:rFonts w:hint="eastAsia" w:ascii="仿宋" w:hAnsi="仿宋" w:eastAsia="仿宋"/>
          <w:color w:val="000000" w:themeColor="text1"/>
          <w:sz w:val="24"/>
          <w:szCs w:val="24"/>
          <w:lang w:val="en-US" w:eastAsia="zh-CN"/>
        </w:rPr>
        <w:t>4</w:t>
      </w:r>
      <w:r>
        <w:rPr>
          <w:rFonts w:hint="eastAsia" w:ascii="仿宋" w:hAnsi="仿宋" w:eastAsia="仿宋"/>
          <w:color w:val="000000" w:themeColor="text1"/>
          <w:sz w:val="24"/>
          <w:szCs w:val="24"/>
        </w:rPr>
        <w:t>：30（投标人无需派代表出席开标会议）；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jc w:val="left"/>
        <w:textAlignment w:val="auto"/>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000000" w:themeColor="text1"/>
          <w:sz w:val="24"/>
        </w:rPr>
        <w:t>在疫情期间，根据浙江省财政厅《关于坚决打赢疫情防控阻击战进一步做好政府采购资金</w:t>
      </w:r>
      <w:r>
        <w:rPr>
          <w:rFonts w:hint="eastAsia" w:ascii="仿宋" w:hAnsi="仿宋" w:eastAsia="仿宋" w:cs="仿宋"/>
          <w:color w:val="auto"/>
          <w:sz w:val="24"/>
        </w:rPr>
        <w:t>支持企业发展工作的通知》（浙财采监﹝2020﹞3号）要求,制订以下付款方式:</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（2）货款支付：项目经采购人验收合格后，</w:t>
      </w:r>
      <w:r>
        <w:rPr>
          <w:rFonts w:hint="eastAsia" w:ascii="仿宋" w:hAnsi="仿宋" w:eastAsia="仿宋" w:cstheme="minorBidi"/>
          <w:color w:val="auto"/>
          <w:sz w:val="24"/>
          <w:lang w:eastAsia="zh-CN"/>
        </w:rPr>
        <w:t>以年度为单位，按实际工作量，据实结算。</w:t>
      </w:r>
      <w:r>
        <w:rPr>
          <w:rFonts w:hint="eastAsia" w:ascii="仿宋" w:hAnsi="仿宋" w:eastAsia="仿宋" w:cstheme="minorBidi"/>
          <w:color w:val="auto"/>
          <w:sz w:val="24"/>
        </w:rPr>
        <w:t>中标人开具发票，一次性全额支付货款。</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000000" w:themeColor="text1"/>
          <w:sz w:val="24"/>
        </w:rPr>
      </w:pPr>
      <w:r>
        <w:rPr>
          <w:rFonts w:hint="eastAsia" w:ascii="仿宋" w:hAnsi="仿宋" w:eastAsia="仿宋"/>
          <w:b/>
          <w:color w:val="000000" w:themeColor="text1"/>
          <w:sz w:val="24"/>
        </w:rPr>
        <w:t>交货时间：</w:t>
      </w:r>
      <w:r>
        <w:rPr>
          <w:rFonts w:hint="eastAsia" w:ascii="仿宋" w:hAnsi="仿宋" w:eastAsia="仿宋"/>
          <w:b/>
          <w:color w:val="000000" w:themeColor="text1"/>
          <w:sz w:val="24"/>
          <w:lang w:val="en-US" w:eastAsia="zh-CN"/>
        </w:rPr>
        <w:t>2020年11月30日前完成，并通过验收</w:t>
      </w:r>
      <w:r>
        <w:rPr>
          <w:rFonts w:hint="eastAsia" w:ascii="仿宋" w:hAnsi="仿宋" w:eastAsia="仿宋"/>
          <w:b/>
          <w:color w:val="000000" w:themeColor="text1"/>
          <w:sz w:val="24"/>
        </w:rPr>
        <w:t>。逾期没收履约保证金，采购人有权单方面解除合同。</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八、质保期</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ascii="仿宋" w:hAnsi="仿宋" w:eastAsia="仿宋"/>
          <w:color w:val="000000" w:themeColor="text1"/>
          <w:sz w:val="24"/>
        </w:rPr>
      </w:pPr>
      <w:r>
        <w:rPr>
          <w:rFonts w:hint="eastAsia" w:ascii="仿宋" w:hAnsi="仿宋" w:eastAsia="仿宋"/>
          <w:b/>
          <w:color w:val="FF0000"/>
          <w:sz w:val="24"/>
          <w:szCs w:val="24"/>
        </w:rPr>
        <w:t>质保期：1年，自验收合格之日起计算。</w:t>
      </w:r>
      <w:r>
        <w:rPr>
          <w:rFonts w:hint="eastAsia" w:ascii="仿宋" w:hAnsi="仿宋" w:eastAsia="仿宋"/>
          <w:color w:val="000000" w:themeColor="text1"/>
          <w:sz w:val="24"/>
        </w:rPr>
        <w:t>质保期内出现</w:t>
      </w:r>
      <w:r>
        <w:rPr>
          <w:rFonts w:hint="eastAsia" w:ascii="仿宋" w:hAnsi="仿宋" w:eastAsia="仿宋"/>
          <w:color w:val="000000" w:themeColor="text1"/>
          <w:sz w:val="24"/>
          <w:lang w:eastAsia="zh-CN"/>
        </w:rPr>
        <w:t>质量问题</w:t>
      </w:r>
      <w:r>
        <w:rPr>
          <w:rFonts w:hint="eastAsia" w:ascii="仿宋" w:hAnsi="仿宋" w:eastAsia="仿宋"/>
          <w:color w:val="000000" w:themeColor="text1"/>
          <w:sz w:val="24"/>
        </w:rPr>
        <w:t>，中标人应在48小时内完成免费维修或更换。</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hint="eastAsia" w:ascii="仿宋" w:hAnsi="仿宋" w:eastAsia="仿宋"/>
          <w:b/>
          <w:color w:val="000000" w:themeColor="text1"/>
          <w:sz w:val="24"/>
          <w:lang w:eastAsia="zh-CN"/>
        </w:rPr>
      </w:pPr>
      <w:r>
        <w:rPr>
          <w:rFonts w:hint="eastAsia" w:ascii="仿宋" w:hAnsi="仿宋" w:eastAsia="仿宋"/>
          <w:b/>
          <w:color w:val="000000" w:themeColor="text1"/>
          <w:sz w:val="24"/>
        </w:rPr>
        <w:t>附件一：</w:t>
      </w:r>
      <w:r>
        <w:rPr>
          <w:rFonts w:hint="eastAsia" w:ascii="仿宋" w:hAnsi="仿宋" w:eastAsia="仿宋"/>
          <w:b/>
          <w:color w:val="000000" w:themeColor="text1"/>
          <w:sz w:val="24"/>
          <w:lang w:eastAsia="zh-CN"/>
        </w:rPr>
        <w:t>采购方案。</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color w:val="000000" w:themeColor="text1"/>
          <w:sz w:val="24"/>
          <w:szCs w:val="24"/>
        </w:rPr>
      </w:pPr>
      <w:r>
        <w:rPr>
          <w:rFonts w:hint="eastAsia" w:ascii="仿宋" w:hAnsi="仿宋" w:eastAsia="仿宋"/>
          <w:b/>
          <w:color w:val="000000" w:themeColor="text1"/>
          <w:sz w:val="24"/>
        </w:rPr>
        <w:t>附件</w:t>
      </w:r>
      <w:r>
        <w:rPr>
          <w:rFonts w:hint="eastAsia" w:ascii="仿宋" w:hAnsi="仿宋" w:eastAsia="仿宋"/>
          <w:b/>
          <w:color w:val="000000" w:themeColor="text1"/>
          <w:sz w:val="24"/>
          <w:lang w:eastAsia="zh-CN"/>
        </w:rPr>
        <w:t>二</w:t>
      </w:r>
      <w:r>
        <w:rPr>
          <w:rFonts w:hint="eastAsia" w:ascii="仿宋" w:hAnsi="仿宋" w:eastAsia="仿宋"/>
          <w:b/>
          <w:color w:val="000000" w:themeColor="text1"/>
          <w:sz w:val="24"/>
        </w:rPr>
        <w:t>：</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hint="eastAsia" w:ascii="仿宋" w:hAnsi="仿宋" w:eastAsia="仿宋"/>
          <w:b/>
          <w:color w:val="000000" w:themeColor="text1"/>
          <w:sz w:val="24"/>
          <w:szCs w:val="24"/>
        </w:rPr>
      </w:pPr>
      <w:r>
        <w:rPr>
          <w:rFonts w:hint="eastAsia" w:ascii="仿宋" w:hAnsi="仿宋" w:eastAsia="仿宋"/>
          <w:b/>
          <w:color w:val="000000" w:themeColor="text1"/>
          <w:sz w:val="24"/>
          <w:szCs w:val="24"/>
        </w:rPr>
        <w:t>2020年</w:t>
      </w:r>
      <w:r>
        <w:rPr>
          <w:rFonts w:hint="eastAsia" w:ascii="仿宋" w:hAnsi="仿宋" w:eastAsia="仿宋"/>
          <w:b/>
          <w:color w:val="000000" w:themeColor="text1"/>
          <w:sz w:val="24"/>
          <w:szCs w:val="24"/>
          <w:lang w:val="en-US" w:eastAsia="zh-CN"/>
        </w:rPr>
        <w:t>11</w:t>
      </w:r>
      <w:r>
        <w:rPr>
          <w:rFonts w:hint="eastAsia" w:ascii="仿宋" w:hAnsi="仿宋" w:eastAsia="仿宋"/>
          <w:b/>
          <w:color w:val="000000" w:themeColor="text1"/>
          <w:sz w:val="24"/>
          <w:szCs w:val="24"/>
        </w:rPr>
        <w:t>月</w:t>
      </w:r>
      <w:r>
        <w:rPr>
          <w:rFonts w:hint="eastAsia" w:ascii="仿宋" w:hAnsi="仿宋" w:eastAsia="仿宋"/>
          <w:b/>
          <w:color w:val="000000" w:themeColor="text1"/>
          <w:sz w:val="24"/>
          <w:szCs w:val="24"/>
          <w:lang w:val="en-US" w:eastAsia="zh-CN"/>
        </w:rPr>
        <w:t>16</w:t>
      </w:r>
      <w:r>
        <w:rPr>
          <w:rFonts w:hint="eastAsia" w:ascii="仿宋" w:hAnsi="仿宋" w:eastAsia="仿宋"/>
          <w:b/>
          <w:color w:val="000000" w:themeColor="text1"/>
          <w:sz w:val="24"/>
          <w:szCs w:val="24"/>
        </w:rPr>
        <w:t>日</w:t>
      </w:r>
    </w:p>
    <w:p>
      <w:pPr>
        <w:ind w:right="480" w:firstLine="5180" w:firstLineChars="2150"/>
        <w:rPr>
          <w:rFonts w:hint="eastAsia" w:ascii="仿宋" w:hAnsi="仿宋" w:eastAsia="仿宋"/>
          <w:b/>
          <w:color w:val="000000" w:themeColor="text1"/>
          <w:sz w:val="24"/>
          <w:szCs w:val="24"/>
        </w:rPr>
      </w:pPr>
    </w:p>
    <w:p>
      <w:pPr>
        <w:ind w:right="480" w:firstLine="5180" w:firstLineChars="2150"/>
        <w:rPr>
          <w:rFonts w:hint="eastAsia" w:ascii="仿宋" w:hAnsi="仿宋" w:eastAsia="仿宋"/>
          <w:b/>
          <w:color w:val="000000" w:themeColor="text1"/>
          <w:sz w:val="24"/>
          <w:szCs w:val="24"/>
        </w:rPr>
      </w:pPr>
    </w:p>
    <w:p>
      <w:pPr>
        <w:ind w:right="480" w:firstLine="5180" w:firstLineChars="2150"/>
        <w:rPr>
          <w:rFonts w:hint="eastAsia" w:ascii="仿宋" w:hAnsi="仿宋" w:eastAsia="仿宋"/>
          <w:b/>
          <w:color w:val="000000" w:themeColor="text1"/>
          <w:sz w:val="24"/>
          <w:szCs w:val="24"/>
        </w:rPr>
      </w:pPr>
    </w:p>
    <w:p>
      <w:pPr>
        <w:pStyle w:val="3"/>
        <w:snapToGrid w:val="0"/>
        <w:spacing w:beforeLines="0" w:afterLines="0" w:line="240" w:lineRule="auto"/>
        <w:jc w:val="left"/>
        <w:rPr>
          <w:rFonts w:hint="eastAsia" w:ascii="黑体" w:hAnsi="黑体" w:eastAsia="黑体"/>
          <w:b/>
          <w:bCs/>
          <w:color w:val="000000" w:themeColor="text1"/>
          <w:lang w:val="en-US" w:eastAsia="zh-CN"/>
        </w:rPr>
      </w:pPr>
      <w:r>
        <w:rPr>
          <w:rFonts w:hint="eastAsia" w:ascii="黑体" w:hAnsi="黑体" w:eastAsia="黑体"/>
          <w:b/>
          <w:bCs/>
          <w:color w:val="000000" w:themeColor="text1"/>
          <w:lang w:eastAsia="zh-CN"/>
        </w:rPr>
        <w:t>附件</w:t>
      </w:r>
      <w:r>
        <w:rPr>
          <w:rFonts w:hint="eastAsia" w:ascii="黑体" w:hAnsi="黑体" w:eastAsia="黑体"/>
          <w:b/>
          <w:bCs/>
          <w:color w:val="000000" w:themeColor="text1"/>
          <w:lang w:val="en-US" w:eastAsia="zh-CN"/>
        </w:rPr>
        <w:t>1：</w:t>
      </w:r>
      <w:r>
        <w:rPr>
          <w:rFonts w:hint="eastAsia" w:ascii="仿宋" w:hAnsi="仿宋" w:eastAsia="仿宋"/>
          <w:b/>
          <w:color w:val="000000" w:themeColor="text1"/>
          <w:sz w:val="24"/>
          <w:lang w:eastAsia="zh-CN"/>
        </w:rPr>
        <w:t>采购方案</w:t>
      </w:r>
    </w:p>
    <w:tbl>
      <w:tblPr>
        <w:tblW w:w="10050" w:type="dxa"/>
        <w:jc w:val="center"/>
        <w:shd w:val="clear"/>
        <w:tblLayout w:type="fixed"/>
        <w:tblCellMar>
          <w:top w:w="0" w:type="dxa"/>
          <w:left w:w="0" w:type="dxa"/>
          <w:bottom w:w="0" w:type="dxa"/>
          <w:right w:w="0" w:type="dxa"/>
        </w:tblCellMar>
      </w:tblPr>
      <w:tblGrid>
        <w:gridCol w:w="383"/>
        <w:gridCol w:w="767"/>
        <w:gridCol w:w="5950"/>
        <w:gridCol w:w="533"/>
        <w:gridCol w:w="567"/>
        <w:gridCol w:w="833"/>
        <w:gridCol w:w="1017"/>
      </w:tblGrid>
      <w:tr>
        <w:tblPrEx>
          <w:shd w:val="clear"/>
          <w:tblCellMar>
            <w:top w:w="0" w:type="dxa"/>
            <w:left w:w="0" w:type="dxa"/>
            <w:bottom w:w="0" w:type="dxa"/>
            <w:right w:w="0" w:type="dxa"/>
          </w:tblCellMar>
        </w:tblPrEx>
        <w:trPr>
          <w:trHeight w:val="405" w:hRule="atLeast"/>
          <w:jc w:val="center"/>
        </w:trPr>
        <w:tc>
          <w:tcPr>
            <w:tcW w:w="38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序号</w:t>
            </w:r>
          </w:p>
        </w:tc>
        <w:tc>
          <w:tcPr>
            <w:tcW w:w="76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名称</w:t>
            </w:r>
          </w:p>
        </w:tc>
        <w:tc>
          <w:tcPr>
            <w:tcW w:w="59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规格型号或技术参数</w:t>
            </w:r>
          </w:p>
        </w:tc>
        <w:tc>
          <w:tcPr>
            <w:tcW w:w="53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单位</w:t>
            </w:r>
          </w:p>
        </w:tc>
        <w:tc>
          <w:tcPr>
            <w:tcW w:w="56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数量</w:t>
            </w:r>
          </w:p>
        </w:tc>
        <w:tc>
          <w:tcPr>
            <w:tcW w:w="1850"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参考品牌型号</w:t>
            </w:r>
          </w:p>
        </w:tc>
      </w:tr>
      <w:tr>
        <w:tblPrEx>
          <w:tblCellMar>
            <w:top w:w="0" w:type="dxa"/>
            <w:left w:w="0" w:type="dxa"/>
            <w:bottom w:w="0" w:type="dxa"/>
            <w:right w:w="0" w:type="dxa"/>
          </w:tblCellMar>
        </w:tblPrEx>
        <w:trPr>
          <w:trHeight w:val="1665" w:hRule="atLeast"/>
          <w:jc w:val="center"/>
        </w:trPr>
        <w:tc>
          <w:tcPr>
            <w:tcW w:w="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仰卧起坐测试仪</w:t>
            </w:r>
          </w:p>
        </w:tc>
        <w:tc>
          <w:tcPr>
            <w:tcW w:w="5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1．测试测试者腰腹力量。</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2．外设具有动作到位提示功能，可以单独显示测试姓名、编号信息和测试成绩，可以扩展到8人同时测试。</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3．腰带式外设，佩戴方便，可以根据不同体型调节佩戴位置。</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4．内置大容量环保锂电池，一次可以使用10小时以上。</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量程：0个—999个；分辨率：1；测试误差：±1个。</w:t>
            </w:r>
          </w:p>
        </w:tc>
        <w:tc>
          <w:tcPr>
            <w:tcW w:w="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台</w:t>
            </w:r>
          </w:p>
        </w:tc>
        <w:tc>
          <w:tcPr>
            <w:tcW w:w="5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体适能</w:t>
            </w:r>
          </w:p>
        </w:tc>
        <w:tc>
          <w:tcPr>
            <w:tcW w:w="10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TSN200-YW</w:t>
            </w:r>
          </w:p>
        </w:tc>
      </w:tr>
      <w:tr>
        <w:tblPrEx>
          <w:tblCellMar>
            <w:top w:w="0" w:type="dxa"/>
            <w:left w:w="0" w:type="dxa"/>
            <w:bottom w:w="0" w:type="dxa"/>
            <w:right w:w="0" w:type="dxa"/>
          </w:tblCellMar>
        </w:tblPrEx>
        <w:trPr>
          <w:trHeight w:val="851" w:hRule="atLeast"/>
          <w:jc w:val="center"/>
        </w:trPr>
        <w:tc>
          <w:tcPr>
            <w:tcW w:w="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仰卧起坐测试台</w:t>
            </w:r>
          </w:p>
        </w:tc>
        <w:tc>
          <w:tcPr>
            <w:tcW w:w="5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 xml:space="preserve"> 长162CM，宽56CM                                                                                                                                                                                                                                                </w:t>
            </w:r>
          </w:p>
        </w:tc>
        <w:tc>
          <w:tcPr>
            <w:tcW w:w="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张</w:t>
            </w:r>
          </w:p>
        </w:tc>
        <w:tc>
          <w:tcPr>
            <w:tcW w:w="5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华聚</w:t>
            </w:r>
          </w:p>
        </w:tc>
        <w:tc>
          <w:tcPr>
            <w:tcW w:w="10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HJ-201</w:t>
            </w:r>
          </w:p>
        </w:tc>
      </w:tr>
      <w:tr>
        <w:tblPrEx>
          <w:tblCellMar>
            <w:top w:w="0" w:type="dxa"/>
            <w:left w:w="0" w:type="dxa"/>
            <w:bottom w:w="0" w:type="dxa"/>
            <w:right w:w="0" w:type="dxa"/>
          </w:tblCellMar>
        </w:tblPrEx>
        <w:trPr>
          <w:trHeight w:val="634" w:hRule="atLeast"/>
          <w:jc w:val="center"/>
        </w:trPr>
        <w:tc>
          <w:tcPr>
            <w:tcW w:w="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室内单杠</w:t>
            </w:r>
          </w:p>
        </w:tc>
        <w:tc>
          <w:tcPr>
            <w:tcW w:w="5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 xml:space="preserve">无需预埋件  高度三档调节 2.4M、 2.25M、 2.1M </w:t>
            </w:r>
          </w:p>
        </w:tc>
        <w:tc>
          <w:tcPr>
            <w:tcW w:w="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欣启</w:t>
            </w:r>
          </w:p>
        </w:tc>
        <w:tc>
          <w:tcPr>
            <w:tcW w:w="10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xq-366</w:t>
            </w:r>
          </w:p>
        </w:tc>
      </w:tr>
      <w:tr>
        <w:tblPrEx>
          <w:tblCellMar>
            <w:top w:w="0" w:type="dxa"/>
            <w:left w:w="0" w:type="dxa"/>
            <w:bottom w:w="0" w:type="dxa"/>
            <w:right w:w="0" w:type="dxa"/>
          </w:tblCellMar>
        </w:tblPrEx>
        <w:trPr>
          <w:trHeight w:val="90" w:hRule="atLeast"/>
          <w:jc w:val="center"/>
        </w:trPr>
        <w:tc>
          <w:tcPr>
            <w:tcW w:w="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肺活量测试仪</w:t>
            </w:r>
          </w:p>
        </w:tc>
        <w:tc>
          <w:tcPr>
            <w:tcW w:w="5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测量范围： 100mL～9999mL   电源：DC12V1A（由电源适配器提供） 测量分度值：1mL   工作环境：5℃ ～ 40℃湿度＜90  误差：±2.5%   存储环境：-10℃ ～ 50℃湿度＜75%  肺活量计自带显示屏，可单独使用；设有防换气作弊功能。</w:t>
            </w:r>
          </w:p>
        </w:tc>
        <w:tc>
          <w:tcPr>
            <w:tcW w:w="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台</w:t>
            </w:r>
          </w:p>
        </w:tc>
        <w:tc>
          <w:tcPr>
            <w:tcW w:w="5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 xml:space="preserve">继豪 </w:t>
            </w:r>
          </w:p>
        </w:tc>
        <w:tc>
          <w:tcPr>
            <w:tcW w:w="10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JH-1663</w:t>
            </w:r>
          </w:p>
        </w:tc>
      </w:tr>
      <w:tr>
        <w:tblPrEx>
          <w:tblCellMar>
            <w:top w:w="0" w:type="dxa"/>
            <w:left w:w="0" w:type="dxa"/>
            <w:bottom w:w="0" w:type="dxa"/>
            <w:right w:w="0" w:type="dxa"/>
          </w:tblCellMar>
        </w:tblPrEx>
        <w:trPr>
          <w:trHeight w:val="1002" w:hRule="atLeast"/>
          <w:jc w:val="center"/>
        </w:trPr>
        <w:tc>
          <w:tcPr>
            <w:tcW w:w="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瑞士训练球</w:t>
            </w:r>
          </w:p>
        </w:tc>
        <w:tc>
          <w:tcPr>
            <w:tcW w:w="5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材质：环保PVC</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最大承重：272Kg</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用途：健身、平更训练、瑜伽锻炼</w:t>
            </w:r>
          </w:p>
        </w:tc>
        <w:tc>
          <w:tcPr>
            <w:tcW w:w="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大中小各6个</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Theraband</w:t>
            </w:r>
          </w:p>
        </w:tc>
        <w:tc>
          <w:tcPr>
            <w:tcW w:w="10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蓝色</w:t>
            </w:r>
          </w:p>
        </w:tc>
      </w:tr>
      <w:tr>
        <w:tblPrEx>
          <w:tblCellMar>
            <w:top w:w="0" w:type="dxa"/>
            <w:left w:w="0" w:type="dxa"/>
            <w:bottom w:w="0" w:type="dxa"/>
            <w:right w:w="0" w:type="dxa"/>
          </w:tblCellMar>
        </w:tblPrEx>
        <w:trPr>
          <w:trHeight w:val="1182" w:hRule="atLeast"/>
          <w:jc w:val="center"/>
        </w:trPr>
        <w:tc>
          <w:tcPr>
            <w:tcW w:w="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肌力训练弹力带</w:t>
            </w:r>
          </w:p>
        </w:tc>
        <w:tc>
          <w:tcPr>
            <w:tcW w:w="5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Thera-Band弹力带采用橡胶材料制成，携带方便、使用极为灵活，可以有效地改善肌力、身体活动能力和灵活性（该训练带有8种阻力级别)。1.8米长</w:t>
            </w:r>
          </w:p>
        </w:tc>
        <w:tc>
          <w:tcPr>
            <w:tcW w:w="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根</w:t>
            </w:r>
          </w:p>
        </w:tc>
        <w:tc>
          <w:tcPr>
            <w:tcW w:w="5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Theraband</w:t>
            </w:r>
          </w:p>
        </w:tc>
        <w:tc>
          <w:tcPr>
            <w:tcW w:w="10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w:t>
            </w:r>
          </w:p>
        </w:tc>
      </w:tr>
      <w:tr>
        <w:tblPrEx>
          <w:tblCellMar>
            <w:top w:w="0" w:type="dxa"/>
            <w:left w:w="0" w:type="dxa"/>
            <w:bottom w:w="0" w:type="dxa"/>
            <w:right w:w="0" w:type="dxa"/>
          </w:tblCellMar>
        </w:tblPrEx>
        <w:trPr>
          <w:trHeight w:val="979" w:hRule="atLeast"/>
          <w:jc w:val="center"/>
        </w:trPr>
        <w:tc>
          <w:tcPr>
            <w:tcW w:w="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电动振动泡沫轴</w:t>
            </w:r>
          </w:p>
        </w:tc>
        <w:tc>
          <w:tcPr>
            <w:tcW w:w="5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振动泡沫轴是一款可振动的泡沫轴，比传统泡沫轴产生的作用力要深。</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这是唯一一款专门为自我肌筋膜放松而设计的振动泡沫轴。</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有开关按钮，使用方便，可以在振动的情况下使用，也可在无振动的情况下使用。</w:t>
            </w:r>
            <w:r>
              <w:rPr>
                <w:rFonts w:hint="eastAsia" w:ascii="仿宋" w:hAnsi="仿宋" w:eastAsia="仿宋" w:cs="仿宋"/>
                <w:i w:val="0"/>
                <w:color w:val="000000"/>
                <w:kern w:val="0"/>
                <w:sz w:val="21"/>
                <w:szCs w:val="21"/>
                <w:u w:val="none"/>
                <w:bdr w:val="none" w:color="auto" w:sz="0" w:space="0"/>
                <w:lang w:val="en-US" w:eastAsia="zh-CN" w:bidi="ar"/>
              </w:rPr>
              <w:br w:type="textWrapping"/>
            </w:r>
            <w:r>
              <w:rPr>
                <w:rFonts w:hint="eastAsia" w:ascii="仿宋" w:hAnsi="仿宋" w:eastAsia="仿宋" w:cs="仿宋"/>
                <w:i w:val="0"/>
                <w:color w:val="000000"/>
                <w:kern w:val="0"/>
                <w:sz w:val="21"/>
                <w:szCs w:val="21"/>
                <w:u w:val="none"/>
                <w:bdr w:val="none" w:color="auto" w:sz="0" w:space="0"/>
                <w:lang w:val="en-US" w:eastAsia="zh-CN" w:bidi="ar"/>
              </w:rPr>
              <w:t>振动可以更好地打碎扳机点，同时加速血液流通，提高活动度以及柔韧性。</w:t>
            </w:r>
          </w:p>
        </w:tc>
        <w:tc>
          <w:tcPr>
            <w:tcW w:w="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个</w:t>
            </w:r>
          </w:p>
        </w:tc>
        <w:tc>
          <w:tcPr>
            <w:tcW w:w="5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hyperice</w:t>
            </w:r>
          </w:p>
        </w:tc>
        <w:tc>
          <w:tcPr>
            <w:tcW w:w="10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vyper2.0绿色</w:t>
            </w:r>
          </w:p>
        </w:tc>
      </w:tr>
      <w:tr>
        <w:tblPrEx>
          <w:tblCellMar>
            <w:top w:w="0" w:type="dxa"/>
            <w:left w:w="0" w:type="dxa"/>
            <w:bottom w:w="0" w:type="dxa"/>
            <w:right w:w="0" w:type="dxa"/>
          </w:tblCellMar>
        </w:tblPrEx>
        <w:trPr>
          <w:trHeight w:val="919" w:hRule="atLeast"/>
          <w:jc w:val="center"/>
        </w:trPr>
        <w:tc>
          <w:tcPr>
            <w:tcW w:w="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自粘弹性绷带</w:t>
            </w:r>
          </w:p>
        </w:tc>
        <w:tc>
          <w:tcPr>
            <w:tcW w:w="5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2.5cm x450cm（盒装）,7.5cm x450cm（盒装）,10cm x450cm（盒装）,7.5cm x450cm（简装）</w:t>
            </w:r>
          </w:p>
        </w:tc>
        <w:tc>
          <w:tcPr>
            <w:tcW w:w="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卷</w:t>
            </w:r>
          </w:p>
        </w:tc>
        <w:tc>
          <w:tcPr>
            <w:tcW w:w="5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50</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康玛士</w:t>
            </w:r>
          </w:p>
        </w:tc>
        <w:tc>
          <w:tcPr>
            <w:tcW w:w="10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w:t>
            </w:r>
          </w:p>
        </w:tc>
      </w:tr>
      <w:tr>
        <w:tblPrEx>
          <w:tblCellMar>
            <w:top w:w="0" w:type="dxa"/>
            <w:left w:w="0" w:type="dxa"/>
            <w:bottom w:w="0" w:type="dxa"/>
            <w:right w:w="0" w:type="dxa"/>
          </w:tblCellMar>
        </w:tblPrEx>
        <w:trPr>
          <w:trHeight w:val="697" w:hRule="atLeast"/>
          <w:jc w:val="center"/>
        </w:trPr>
        <w:tc>
          <w:tcPr>
            <w:tcW w:w="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9</w:t>
            </w:r>
          </w:p>
        </w:tc>
        <w:tc>
          <w:tcPr>
            <w:tcW w:w="7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悬垂训练带</w:t>
            </w:r>
          </w:p>
        </w:tc>
        <w:tc>
          <w:tcPr>
            <w:tcW w:w="5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joinfit悬挂训练带,悬臂器宽17.5cm，助力带长25cm，加厚内衬长33cm，</w:t>
            </w:r>
          </w:p>
        </w:tc>
        <w:tc>
          <w:tcPr>
            <w:tcW w:w="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副</w:t>
            </w:r>
          </w:p>
        </w:tc>
        <w:tc>
          <w:tcPr>
            <w:tcW w:w="5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DEFOE</w:t>
            </w:r>
          </w:p>
        </w:tc>
        <w:tc>
          <w:tcPr>
            <w:tcW w:w="10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黑色</w:t>
            </w:r>
          </w:p>
        </w:tc>
      </w:tr>
      <w:tr>
        <w:tblPrEx>
          <w:tblCellMar>
            <w:top w:w="0" w:type="dxa"/>
            <w:left w:w="0" w:type="dxa"/>
            <w:bottom w:w="0" w:type="dxa"/>
            <w:right w:w="0" w:type="dxa"/>
          </w:tblCellMar>
        </w:tblPrEx>
        <w:trPr>
          <w:trHeight w:val="540" w:hRule="atLeast"/>
          <w:jc w:val="center"/>
        </w:trPr>
        <w:tc>
          <w:tcPr>
            <w:tcW w:w="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平衡气垫</w:t>
            </w:r>
          </w:p>
        </w:tc>
        <w:tc>
          <w:tcPr>
            <w:tcW w:w="59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none" w:color="auto" w:sz="0" w:space="0"/>
                <w:lang w:val="en-US" w:eastAsia="zh-CN" w:bidi="ar"/>
              </w:rPr>
              <w:t>Joinfit 平衡垫康复训练，直径: 48CM,pvc</w:t>
            </w:r>
          </w:p>
        </w:tc>
        <w:tc>
          <w:tcPr>
            <w:tcW w:w="5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副</w:t>
            </w:r>
          </w:p>
        </w:tc>
        <w:tc>
          <w:tcPr>
            <w:tcW w:w="5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DEFOE</w:t>
            </w:r>
          </w:p>
        </w:tc>
        <w:tc>
          <w:tcPr>
            <w:tcW w:w="10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bdr w:val="none" w:color="auto" w:sz="0" w:space="0"/>
                <w:lang w:val="en-US" w:eastAsia="zh-CN" w:bidi="ar"/>
              </w:rPr>
              <w:t>黑色</w:t>
            </w:r>
          </w:p>
        </w:tc>
      </w:tr>
    </w:tbl>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ascii="黑体" w:hAnsi="黑体" w:eastAsia="黑体"/>
          <w:b/>
          <w:bCs/>
          <w:color w:val="000000" w:themeColor="text1"/>
        </w:rPr>
      </w:pPr>
      <w:bookmarkStart w:id="0" w:name="_GoBack"/>
      <w:bookmarkEnd w:id="0"/>
      <w:r>
        <w:rPr>
          <w:rFonts w:hint="eastAsia" w:ascii="黑体" w:hAnsi="黑体" w:eastAsia="黑体"/>
          <w:b/>
          <w:bCs/>
          <w:color w:val="000000" w:themeColor="text1"/>
        </w:rPr>
        <w:t>附件</w:t>
      </w:r>
      <w:r>
        <w:rPr>
          <w:rFonts w:hint="eastAsia" w:ascii="黑体" w:hAnsi="黑体" w:eastAsia="黑体"/>
          <w:b/>
          <w:bCs/>
          <w:color w:val="000000" w:themeColor="text1"/>
          <w:lang w:eastAsia="zh-CN"/>
        </w:rPr>
        <w:t>二</w:t>
      </w:r>
      <w:r>
        <w:rPr>
          <w:rFonts w:hint="eastAsia" w:ascii="黑体" w:hAnsi="黑体" w:eastAsia="黑体"/>
          <w:b/>
          <w:bCs/>
          <w:color w:val="000000" w:themeColor="text1"/>
        </w:rPr>
        <w:t>：</w:t>
      </w:r>
      <w:r>
        <w:rPr>
          <w:rFonts w:ascii="黑体" w:hAnsi="黑体" w:eastAsia="黑体"/>
          <w:b/>
          <w:bCs/>
          <w:color w:val="000000" w:themeColor="text1"/>
        </w:rPr>
        <w:t>投标报价</w:t>
      </w:r>
      <w:r>
        <w:rPr>
          <w:rFonts w:hint="eastAsia" w:ascii="黑体" w:hAnsi="黑体" w:eastAsia="黑体"/>
          <w:b/>
          <w:bCs/>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hint="eastAsia" w:ascii="仿宋" w:hAnsi="仿宋" w:eastAsia="仿宋"/>
          <w:b/>
          <w:color w:val="000000" w:themeColor="text1"/>
          <w:sz w:val="24"/>
          <w:lang w:eastAsia="zh-CN"/>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lang w:eastAsia="zh-CN"/>
        </w:rPr>
        <w:t>湖州师范学院体育学院运动人体科学实验室体育器材采购项目</w:t>
      </w:r>
    </w:p>
    <w:p>
      <w:pPr>
        <w:jc w:val="left"/>
        <w:rPr>
          <w:rFonts w:hint="eastAsia" w:ascii="仿宋" w:hAnsi="仿宋" w:eastAsia="仿宋"/>
          <w:b/>
          <w:color w:val="000000" w:themeColor="text1"/>
          <w:sz w:val="24"/>
          <w:szCs w:val="24"/>
          <w:lang w:eastAsia="zh-CN"/>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lang w:eastAsia="zh-CN"/>
        </w:rPr>
        <w:t>XZ2020-154</w:t>
      </w:r>
    </w:p>
    <w:p>
      <w:pPr>
        <w:jc w:val="left"/>
        <w:rPr>
          <w:rFonts w:hint="eastAsia" w:ascii="仿宋" w:hAnsi="仿宋" w:eastAsia="仿宋"/>
          <w:b/>
          <w:color w:val="000000" w:themeColor="text1"/>
          <w:sz w:val="24"/>
          <w:szCs w:val="24"/>
          <w:lang w:eastAsia="zh-CN"/>
        </w:rPr>
      </w:pPr>
    </w:p>
    <w:tbl>
      <w:tblPr>
        <w:tblStyle w:val="9"/>
        <w:tblW w:w="9110" w:type="dxa"/>
        <w:jc w:val="center"/>
        <w:shd w:val="clear" w:color="auto" w:fill="auto"/>
        <w:tblLayout w:type="fixed"/>
        <w:tblCellMar>
          <w:top w:w="0" w:type="dxa"/>
          <w:left w:w="0" w:type="dxa"/>
          <w:bottom w:w="0" w:type="dxa"/>
          <w:right w:w="0" w:type="dxa"/>
        </w:tblCellMar>
      </w:tblPr>
      <w:tblGrid>
        <w:gridCol w:w="696"/>
        <w:gridCol w:w="2067"/>
        <w:gridCol w:w="1841"/>
        <w:gridCol w:w="959"/>
        <w:gridCol w:w="1384"/>
        <w:gridCol w:w="966"/>
        <w:gridCol w:w="1197"/>
      </w:tblGrid>
      <w:tr>
        <w:tblPrEx>
          <w:shd w:val="clear" w:color="auto" w:fill="auto"/>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品牌、规格、型号</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数量</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单价</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小计</w:t>
            </w: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仰卧起坐测试仪</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台</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仰卧起坐测试台</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张</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室内单杠</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个</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肺活量测试仪</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台</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瑞士训练球</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个</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大中小各6个</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肌力训练弹力带</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根</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电动振动泡沫轴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个</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自粘弹性绷带</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悬垂训练带</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副</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平衡气垫</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副</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合计</w:t>
            </w:r>
          </w:p>
        </w:tc>
        <w:tc>
          <w:tcPr>
            <w:tcW w:w="63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bidi="ar-SA"/>
              </w:rPr>
            </w:pPr>
            <w:r>
              <w:rPr>
                <w:rFonts w:hint="eastAsia" w:ascii="仿宋" w:hAnsi="仿宋" w:eastAsia="仿宋" w:cs="仿宋"/>
                <w:b w:val="0"/>
                <w:bCs w:val="0"/>
                <w:i w:val="0"/>
                <w:color w:val="000000"/>
                <w:kern w:val="0"/>
                <w:sz w:val="21"/>
                <w:szCs w:val="21"/>
                <w:u w:val="none"/>
                <w:lang w:val="en-US" w:eastAsia="zh-CN" w:bidi="ar"/>
              </w:rPr>
              <w:t>大写：</w:t>
            </w:r>
            <w:r>
              <w:rPr>
                <w:rFonts w:hint="eastAsia" w:ascii="仿宋" w:hAnsi="仿宋" w:eastAsia="仿宋" w:cs="仿宋"/>
                <w:b w:val="0"/>
                <w:bCs w:val="0"/>
                <w:i w:val="0"/>
                <w:color w:val="000000"/>
                <w:kern w:val="0"/>
                <w:sz w:val="21"/>
                <w:szCs w:val="21"/>
                <w:u w:val="single"/>
                <w:lang w:val="en-US" w:eastAsia="zh-CN" w:bidi="ar"/>
              </w:rPr>
              <w:t xml:space="preserve">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元整（¥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w:t>
            </w:r>
          </w:p>
        </w:tc>
      </w:tr>
    </w:tbl>
    <w:p>
      <w:pPr>
        <w:jc w:val="left"/>
        <w:rPr>
          <w:rFonts w:hint="eastAsia" w:ascii="仿宋" w:hAnsi="仿宋" w:eastAsia="仿宋"/>
          <w:b/>
          <w:color w:val="000000" w:themeColor="text1"/>
          <w:sz w:val="24"/>
          <w:szCs w:val="24"/>
          <w:lang w:eastAsia="zh-CN"/>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hint="eastAsia"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80184"/>
    <w:multiLevelType w:val="singleLevel"/>
    <w:tmpl w:val="BB0801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29F0788"/>
    <w:rsid w:val="0DF12A0C"/>
    <w:rsid w:val="11D75D61"/>
    <w:rsid w:val="18462C05"/>
    <w:rsid w:val="1AA22356"/>
    <w:rsid w:val="1E817C6E"/>
    <w:rsid w:val="261E5BD6"/>
    <w:rsid w:val="26E85221"/>
    <w:rsid w:val="2E350BF7"/>
    <w:rsid w:val="321F73AA"/>
    <w:rsid w:val="32274E71"/>
    <w:rsid w:val="38806F68"/>
    <w:rsid w:val="3B5759CC"/>
    <w:rsid w:val="406F0267"/>
    <w:rsid w:val="41AC0A71"/>
    <w:rsid w:val="45147ED2"/>
    <w:rsid w:val="46FA36AF"/>
    <w:rsid w:val="470D29FD"/>
    <w:rsid w:val="491A430A"/>
    <w:rsid w:val="4AAA2B2A"/>
    <w:rsid w:val="4CCE6F95"/>
    <w:rsid w:val="573A2C8C"/>
    <w:rsid w:val="5A4D251F"/>
    <w:rsid w:val="5A52694C"/>
    <w:rsid w:val="5C8137F0"/>
    <w:rsid w:val="6628674B"/>
    <w:rsid w:val="6678268C"/>
    <w:rsid w:val="693B0340"/>
    <w:rsid w:val="6A75632C"/>
    <w:rsid w:val="73684614"/>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link w:val="3"/>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link w:val="2"/>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 w:type="character" w:customStyle="1" w:styleId="24">
    <w:name w:val="font61"/>
    <w:basedOn w:val="10"/>
    <w:qFormat/>
    <w:uiPriority w:val="0"/>
    <w:rPr>
      <w:rFonts w:hint="eastAsia" w:ascii="宋体" w:hAnsi="宋体" w:eastAsia="宋体" w:cs="宋体"/>
      <w:color w:val="000000"/>
      <w:sz w:val="22"/>
      <w:szCs w:val="22"/>
      <w:u w:val="none"/>
    </w:rPr>
  </w:style>
  <w:style w:type="character" w:customStyle="1" w:styleId="25">
    <w:name w:val="font51"/>
    <w:basedOn w:val="10"/>
    <w:qFormat/>
    <w:uiPriority w:val="0"/>
    <w:rPr>
      <w:rFonts w:ascii="华文细黑" w:hAnsi="华文细黑" w:eastAsia="华文细黑" w:cs="华文细黑"/>
      <w:color w:val="000000"/>
      <w:sz w:val="22"/>
      <w:szCs w:val="22"/>
      <w:u w:val="none"/>
    </w:rPr>
  </w:style>
  <w:style w:type="character" w:customStyle="1" w:styleId="26">
    <w:name w:val="font31"/>
    <w:basedOn w:val="10"/>
    <w:qFormat/>
    <w:uiPriority w:val="0"/>
    <w:rPr>
      <w:rFonts w:hint="eastAsia" w:ascii="微软雅黑" w:hAnsi="微软雅黑" w:eastAsia="微软雅黑" w:cs="微软雅黑"/>
      <w:b/>
      <w:color w:val="000000"/>
      <w:sz w:val="20"/>
      <w:szCs w:val="20"/>
      <w:u w:val="none"/>
    </w:rPr>
  </w:style>
  <w:style w:type="character" w:customStyle="1" w:styleId="27">
    <w:name w:val="font21"/>
    <w:basedOn w:val="10"/>
    <w:qFormat/>
    <w:uiPriority w:val="0"/>
    <w:rPr>
      <w:rFonts w:hint="eastAsia" w:ascii="宋体" w:hAnsi="宋体" w:eastAsia="宋体" w:cs="宋体"/>
      <w:b/>
      <w:color w:val="000000"/>
      <w:sz w:val="20"/>
      <w:szCs w:val="20"/>
      <w:u w:val="none"/>
    </w:rPr>
  </w:style>
  <w:style w:type="character" w:customStyle="1" w:styleId="28">
    <w:name w:val="font01"/>
    <w:basedOn w:val="10"/>
    <w:qFormat/>
    <w:uiPriority w:val="0"/>
    <w:rPr>
      <w:rFonts w:hint="eastAsia" w:ascii="宋体" w:hAnsi="宋体" w:eastAsia="宋体" w:cs="宋体"/>
      <w:color w:val="000000"/>
      <w:sz w:val="20"/>
      <w:szCs w:val="20"/>
      <w:u w:val="none"/>
    </w:rPr>
  </w:style>
  <w:style w:type="character" w:customStyle="1" w:styleId="29">
    <w:name w:val="font71"/>
    <w:basedOn w:val="10"/>
    <w:uiPriority w:val="0"/>
    <w:rPr>
      <w:rFonts w:hint="default" w:ascii="等线" w:hAnsi="等线" w:eastAsia="等线" w:cs="等线"/>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1</TotalTime>
  <ScaleCrop>false</ScaleCrop>
  <LinksUpToDate>false</LinksUpToDate>
  <CharactersWithSpaces>4911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2020-11-12T07:56:21Z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