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pacing w:val="-30"/>
          <w:sz w:val="36"/>
          <w:szCs w:val="36"/>
          <w:lang w:eastAsia="zh-CN"/>
        </w:rPr>
      </w:pPr>
      <w:r>
        <w:rPr>
          <w:rFonts w:hint="eastAsia" w:asciiTheme="majorEastAsia" w:hAnsiTheme="majorEastAsia" w:eastAsiaTheme="majorEastAsia"/>
          <w:b/>
          <w:color w:val="000000" w:themeColor="text1"/>
          <w:spacing w:val="-30"/>
          <w:sz w:val="36"/>
          <w:szCs w:val="36"/>
          <w:lang w:eastAsia="zh-CN"/>
        </w:rPr>
        <w:t>湖州师范学院保卫处消防疏散示意图制作与安装项目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lang w:eastAsia="zh-CN"/>
        </w:rPr>
        <w:t>湖州师范学院保卫处消防疏散示意图制作与安装项目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lang w:eastAsia="zh-CN"/>
        </w:rPr>
        <w:t>XZ2020-158</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jc w:val="both"/>
        <w:rPr>
          <w:rFonts w:hint="eastAsia" w:ascii="仿宋" w:hAnsi="仿宋" w:eastAsia="仿宋"/>
          <w:color w:val="000000" w:themeColor="text1"/>
          <w:sz w:val="24"/>
          <w:lang w:eastAsia="zh-CN"/>
        </w:rPr>
      </w:pPr>
      <w:r>
        <w:rPr>
          <w:rFonts w:hint="eastAsia" w:ascii="仿宋" w:hAnsi="仿宋" w:eastAsia="仿宋" w:cs="Times New Roman"/>
          <w:color w:val="000000" w:themeColor="text1"/>
          <w:sz w:val="24"/>
          <w:szCs w:val="24"/>
        </w:rPr>
        <w:t>5.采购预算：</w:t>
      </w:r>
      <w:r>
        <w:rPr>
          <w:rFonts w:hint="eastAsia" w:ascii="仿宋" w:hAnsi="仿宋" w:eastAsia="仿宋"/>
          <w:sz w:val="24"/>
          <w:lang w:eastAsia="zh-CN"/>
        </w:rPr>
        <w:t>人民币陆万元整（￥</w:t>
      </w:r>
      <w:r>
        <w:rPr>
          <w:rFonts w:hint="eastAsia" w:ascii="仿宋" w:hAnsi="仿宋" w:eastAsia="仿宋"/>
          <w:sz w:val="24"/>
          <w:lang w:val="en-US" w:eastAsia="zh-CN"/>
        </w:rPr>
        <w:t>600</w:t>
      </w:r>
      <w:r>
        <w:rPr>
          <w:rFonts w:hint="eastAsia" w:ascii="仿宋" w:hAnsi="仿宋" w:eastAsia="仿宋"/>
          <w:sz w:val="24"/>
          <w:lang w:eastAsia="zh-CN"/>
        </w:rPr>
        <w:t>00.00元）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82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58"/>
        <w:gridCol w:w="1784"/>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8" w:type="dxa"/>
            <w:vAlign w:val="center"/>
          </w:tcPr>
          <w:p>
            <w:pPr>
              <w:jc w:val="center"/>
              <w:rPr>
                <w:rFonts w:ascii="仿宋" w:hAnsi="仿宋" w:eastAsia="仿宋"/>
                <w:b/>
                <w:sz w:val="24"/>
              </w:rPr>
            </w:pPr>
            <w:r>
              <w:rPr>
                <w:rFonts w:hint="eastAsia" w:ascii="仿宋" w:hAnsi="仿宋" w:eastAsia="仿宋"/>
                <w:b/>
                <w:sz w:val="24"/>
              </w:rPr>
              <w:t>项目名称</w:t>
            </w:r>
          </w:p>
        </w:tc>
        <w:tc>
          <w:tcPr>
            <w:tcW w:w="1784" w:type="dxa"/>
            <w:vAlign w:val="center"/>
          </w:tcPr>
          <w:p>
            <w:pPr>
              <w:jc w:val="center"/>
              <w:rPr>
                <w:rFonts w:ascii="仿宋" w:hAnsi="仿宋" w:eastAsia="仿宋"/>
                <w:b/>
                <w:sz w:val="24"/>
              </w:rPr>
            </w:pPr>
            <w:r>
              <w:rPr>
                <w:rFonts w:hint="eastAsia" w:ascii="仿宋" w:hAnsi="仿宋" w:eastAsia="仿宋"/>
                <w:b/>
                <w:sz w:val="24"/>
              </w:rPr>
              <w:t>采购数量</w:t>
            </w:r>
          </w:p>
        </w:tc>
        <w:tc>
          <w:tcPr>
            <w:tcW w:w="2791" w:type="dxa"/>
            <w:vAlign w:val="center"/>
          </w:tcPr>
          <w:p>
            <w:pPr>
              <w:jc w:val="center"/>
              <w:rPr>
                <w:rFonts w:hint="eastAsia" w:ascii="仿宋" w:hAnsi="仿宋" w:eastAsia="仿宋"/>
                <w:b/>
                <w:sz w:val="24"/>
                <w:lang w:eastAsia="zh-CN"/>
              </w:rPr>
            </w:pPr>
            <w:r>
              <w:rPr>
                <w:rFonts w:hint="eastAsia" w:ascii="仿宋" w:hAnsi="仿宋" w:eastAsia="仿宋"/>
                <w:b/>
                <w:sz w:val="24"/>
                <w:lang w:eastAsia="zh-CN"/>
              </w:rPr>
              <w:t>具体采购需求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8" w:type="dxa"/>
            <w:vAlign w:val="center"/>
          </w:tcPr>
          <w:p>
            <w:pPr>
              <w:jc w:val="center"/>
              <w:rPr>
                <w:rFonts w:hint="eastAsia" w:ascii="仿宋" w:hAnsi="仿宋" w:eastAsia="仿宋"/>
                <w:sz w:val="24"/>
                <w:lang w:eastAsia="zh-CN"/>
              </w:rPr>
            </w:pPr>
            <w:r>
              <w:rPr>
                <w:rFonts w:hint="eastAsia" w:ascii="仿宋" w:hAnsi="仿宋" w:eastAsia="仿宋"/>
                <w:sz w:val="24"/>
                <w:szCs w:val="24"/>
                <w:lang w:eastAsia="zh-CN"/>
              </w:rPr>
              <w:t>湖州师范学院保卫处消防疏散示意图制作与安装项目</w:t>
            </w:r>
          </w:p>
        </w:tc>
        <w:tc>
          <w:tcPr>
            <w:tcW w:w="1784" w:type="dxa"/>
            <w:vAlign w:val="center"/>
          </w:tcPr>
          <w:p>
            <w:pPr>
              <w:jc w:val="center"/>
              <w:rPr>
                <w:rFonts w:hint="eastAsia" w:ascii="仿宋" w:hAnsi="仿宋" w:eastAsia="仿宋"/>
                <w:sz w:val="24"/>
                <w:lang w:val="en-US" w:eastAsia="zh-CN"/>
              </w:rPr>
            </w:pPr>
            <w:r>
              <w:rPr>
                <w:rFonts w:hint="eastAsia" w:ascii="仿宋" w:hAnsi="仿宋" w:eastAsia="仿宋"/>
                <w:b/>
                <w:bCs/>
                <w:sz w:val="24"/>
                <w:szCs w:val="24"/>
                <w:lang w:val="en-US" w:eastAsia="zh-CN"/>
              </w:rPr>
              <w:t>1项</w:t>
            </w:r>
          </w:p>
        </w:tc>
        <w:tc>
          <w:tcPr>
            <w:tcW w:w="2791" w:type="dxa"/>
            <w:vAlign w:val="center"/>
          </w:tcPr>
          <w:p>
            <w:pPr>
              <w:jc w:val="center"/>
              <w:rPr>
                <w:rFonts w:hint="default" w:ascii="仿宋" w:hAnsi="仿宋" w:eastAsia="仿宋"/>
                <w:sz w:val="24"/>
                <w:lang w:val="en-US" w:eastAsia="zh-CN"/>
              </w:rPr>
            </w:pPr>
            <w:r>
              <w:rPr>
                <w:rFonts w:hint="eastAsia" w:ascii="仿宋" w:hAnsi="仿宋" w:eastAsia="仿宋"/>
                <w:b/>
                <w:bCs/>
                <w:sz w:val="24"/>
                <w:lang w:eastAsia="zh-CN"/>
              </w:rPr>
              <w:t>详</w:t>
            </w:r>
            <w:r>
              <w:rPr>
                <w:rFonts w:hint="eastAsia" w:ascii="仿宋" w:hAnsi="仿宋" w:eastAsia="仿宋"/>
                <w:b/>
                <w:bCs/>
                <w:sz w:val="24"/>
                <w:lang w:val="en-US" w:eastAsia="zh-CN"/>
              </w:rPr>
              <w:t>见附件1</w:t>
            </w:r>
          </w:p>
        </w:tc>
      </w:tr>
    </w:tbl>
    <w:p>
      <w:pPr>
        <w:rPr>
          <w:rFonts w:hint="eastAsia" w:ascii="仿宋" w:hAnsi="仿宋" w:eastAsia="仿宋" w:cs="Times New Roman"/>
          <w:b/>
          <w:color w:val="FF0000"/>
          <w:sz w:val="24"/>
          <w:szCs w:val="24"/>
          <w:lang w:eastAsia="zh-CN"/>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r>
        <w:rPr>
          <w:rFonts w:hint="eastAsia" w:ascii="仿宋" w:hAnsi="仿宋" w:eastAsia="仿宋" w:cs="Times New Roman"/>
          <w:b/>
          <w:color w:val="FF0000"/>
          <w:sz w:val="24"/>
          <w:szCs w:val="24"/>
          <w:lang w:eastAsia="zh-CN"/>
        </w:rPr>
        <w:t>实际安装数量可能略有出入</w:t>
      </w:r>
      <w:r>
        <w:rPr>
          <w:rFonts w:hint="eastAsia" w:ascii="仿宋" w:hAnsi="仿宋" w:eastAsia="仿宋" w:cs="Times New Roman"/>
          <w:b/>
          <w:color w:val="FF0000"/>
          <w:sz w:val="24"/>
          <w:szCs w:val="24"/>
        </w:rPr>
        <w:t>，</w:t>
      </w:r>
      <w:r>
        <w:rPr>
          <w:rFonts w:hint="eastAsia" w:ascii="仿宋" w:hAnsi="仿宋" w:eastAsia="仿宋" w:cs="Times New Roman"/>
          <w:b/>
          <w:color w:val="FF0000"/>
          <w:sz w:val="24"/>
          <w:szCs w:val="24"/>
          <w:lang w:eastAsia="zh-CN"/>
        </w:rPr>
        <w:t>结算时按成交单价，据实结算。</w:t>
      </w:r>
    </w:p>
    <w:p>
      <w:pPr>
        <w:spacing w:line="240" w:lineRule="auto"/>
        <w:ind w:firstLine="482" w:firstLineChars="200"/>
        <w:rPr>
          <w:rFonts w:hint="eastAsia" w:ascii="仿宋" w:hAnsi="仿宋" w:eastAsia="仿宋"/>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本项目采购预算合</w:t>
      </w:r>
      <w:r>
        <w:rPr>
          <w:rFonts w:hint="eastAsia" w:ascii="仿宋" w:hAnsi="仿宋" w:eastAsia="仿宋"/>
          <w:b/>
          <w:color w:val="000000" w:themeColor="text1"/>
          <w:sz w:val="24"/>
          <w:szCs w:val="24"/>
          <w:lang w:eastAsia="zh-CN"/>
        </w:rPr>
        <w:t>包含</w:t>
      </w:r>
      <w:r>
        <w:rPr>
          <w:rFonts w:hint="eastAsia" w:ascii="仿宋" w:hAnsi="仿宋" w:eastAsia="仿宋"/>
          <w:b/>
          <w:color w:val="000000" w:themeColor="text1"/>
          <w:sz w:val="24"/>
          <w:szCs w:val="24"/>
        </w:rPr>
        <w:t>税金、</w:t>
      </w:r>
      <w:r>
        <w:rPr>
          <w:rFonts w:hint="eastAsia" w:ascii="仿宋" w:hAnsi="仿宋" w:eastAsia="仿宋"/>
          <w:b/>
          <w:color w:val="000000" w:themeColor="text1"/>
          <w:sz w:val="24"/>
          <w:szCs w:val="24"/>
          <w:lang w:eastAsia="zh-CN"/>
        </w:rPr>
        <w:t>设计、咨询、配件、</w:t>
      </w:r>
      <w:r>
        <w:rPr>
          <w:rFonts w:hint="eastAsia" w:ascii="仿宋" w:hAnsi="仿宋" w:eastAsia="仿宋"/>
          <w:b/>
          <w:color w:val="000000" w:themeColor="text1"/>
          <w:sz w:val="24"/>
          <w:szCs w:val="24"/>
        </w:rPr>
        <w:t>运输、加工、装卸、</w:t>
      </w:r>
      <w:r>
        <w:rPr>
          <w:rFonts w:hint="eastAsia" w:ascii="仿宋" w:hAnsi="仿宋" w:eastAsia="仿宋"/>
          <w:b/>
          <w:color w:val="000000" w:themeColor="text1"/>
          <w:sz w:val="24"/>
          <w:szCs w:val="24"/>
          <w:lang w:eastAsia="zh-CN"/>
        </w:rPr>
        <w:t>安装</w:t>
      </w:r>
      <w:r>
        <w:rPr>
          <w:rFonts w:hint="eastAsia" w:ascii="仿宋" w:hAnsi="仿宋" w:eastAsia="仿宋"/>
          <w:b/>
          <w:color w:val="000000" w:themeColor="text1"/>
          <w:sz w:val="24"/>
          <w:szCs w:val="24"/>
        </w:rPr>
        <w:t>及售后服务等一切费用。</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auto"/>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：产品必须是符合国家质量标准及安全标准的全新合格产品。</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b/>
          <w:color w:val="auto"/>
          <w:sz w:val="24"/>
          <w:szCs w:val="24"/>
        </w:rPr>
      </w:pPr>
      <w:r>
        <w:rPr>
          <w:rFonts w:hint="eastAsia" w:ascii="仿宋" w:hAnsi="仿宋" w:eastAsia="仿宋"/>
          <w:b/>
          <w:color w:val="auto"/>
          <w:sz w:val="24"/>
          <w:szCs w:val="24"/>
        </w:rPr>
        <w:t>注</w:t>
      </w:r>
      <w:r>
        <w:rPr>
          <w:rFonts w:hint="eastAsia" w:ascii="仿宋" w:hAnsi="仿宋" w:eastAsia="仿宋"/>
          <w:b/>
          <w:color w:val="auto"/>
          <w:sz w:val="24"/>
          <w:szCs w:val="24"/>
          <w:lang w:val="en-US" w:eastAsia="zh-CN"/>
        </w:rPr>
        <w:t>4</w:t>
      </w:r>
      <w:r>
        <w:rPr>
          <w:rFonts w:hint="eastAsia" w:ascii="仿宋" w:hAnsi="仿宋" w:eastAsia="仿宋"/>
          <w:b/>
          <w:color w:val="auto"/>
          <w:sz w:val="24"/>
          <w:szCs w:val="24"/>
        </w:rPr>
        <w:t>：</w:t>
      </w:r>
      <w:r>
        <w:rPr>
          <w:rFonts w:hint="eastAsia" w:ascii="仿宋" w:hAnsi="仿宋" w:eastAsia="仿宋"/>
          <w:b/>
          <w:color w:val="auto"/>
          <w:sz w:val="24"/>
          <w:szCs w:val="24"/>
          <w:lang w:eastAsia="zh-CN"/>
        </w:rPr>
        <w:t>如需</w:t>
      </w:r>
      <w:r>
        <w:rPr>
          <w:rFonts w:hint="eastAsia" w:ascii="仿宋" w:hAnsi="仿宋" w:eastAsia="仿宋"/>
          <w:b/>
          <w:color w:val="auto"/>
          <w:sz w:val="24"/>
          <w:szCs w:val="24"/>
        </w:rPr>
        <w:t>项目安装施工</w:t>
      </w:r>
      <w:r>
        <w:rPr>
          <w:rFonts w:hint="eastAsia" w:ascii="仿宋" w:hAnsi="仿宋" w:eastAsia="仿宋"/>
          <w:b/>
          <w:color w:val="auto"/>
          <w:sz w:val="24"/>
          <w:szCs w:val="24"/>
          <w:lang w:eastAsia="zh-CN"/>
        </w:rPr>
        <w:t>的，相关工</w:t>
      </w:r>
      <w:r>
        <w:rPr>
          <w:rFonts w:hint="eastAsia" w:ascii="仿宋" w:hAnsi="仿宋" w:eastAsia="仿宋"/>
          <w:b/>
          <w:color w:val="auto"/>
          <w:sz w:val="24"/>
          <w:szCs w:val="24"/>
        </w:rPr>
        <w:t>人必须按照国家相关规定持证上岗，如因无证上岗引起的安全事故由中标人承担全部法律责任。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auto"/>
          <w:sz w:val="24"/>
          <w:szCs w:val="24"/>
        </w:rPr>
      </w:pPr>
      <w:r>
        <w:rPr>
          <w:rFonts w:hint="eastAsia" w:ascii="仿宋" w:hAnsi="仿宋" w:eastAsia="仿宋"/>
          <w:b/>
          <w:color w:val="auto"/>
          <w:sz w:val="24"/>
          <w:szCs w:val="24"/>
        </w:rPr>
        <w:t>二、投标文件要求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color w:val="000000" w:themeColor="text1"/>
          <w:sz w:val="24"/>
          <w:szCs w:val="24"/>
          <w:lang w:eastAsia="zh-CN"/>
        </w:rPr>
        <w:t>见附件</w:t>
      </w:r>
      <w:r>
        <w:rPr>
          <w:rFonts w:hint="eastAsia" w:ascii="仿宋" w:hAnsi="仿宋" w:eastAsia="仿宋"/>
          <w:color w:val="000000" w:themeColor="text1"/>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1.开标时间：2020年</w:t>
      </w:r>
      <w:r>
        <w:rPr>
          <w:rFonts w:hint="eastAsia" w:ascii="仿宋" w:hAnsi="仿宋" w:eastAsia="仿宋"/>
          <w:color w:val="000000" w:themeColor="text1"/>
          <w:sz w:val="24"/>
          <w:szCs w:val="24"/>
          <w:lang w:val="en-US" w:eastAsia="zh-CN"/>
        </w:rPr>
        <w:t>12</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14</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lang w:eastAsia="zh-CN"/>
        </w:rPr>
        <w:t>下午</w:t>
      </w:r>
      <w:r>
        <w:rPr>
          <w:rFonts w:hint="eastAsia" w:ascii="仿宋" w:hAnsi="仿宋" w:eastAsia="仿宋"/>
          <w:color w:val="000000" w:themeColor="text1"/>
          <w:sz w:val="24"/>
          <w:szCs w:val="24"/>
        </w:rPr>
        <w:t>1</w:t>
      </w:r>
      <w:r>
        <w:rPr>
          <w:rFonts w:hint="eastAsia" w:ascii="仿宋" w:hAnsi="仿宋" w:eastAsia="仿宋"/>
          <w:color w:val="000000" w:themeColor="text1"/>
          <w:sz w:val="24"/>
          <w:szCs w:val="24"/>
          <w:lang w:val="en-US" w:eastAsia="zh-CN"/>
        </w:rPr>
        <w:t>4</w:t>
      </w:r>
      <w:r>
        <w:rPr>
          <w:rFonts w:hint="eastAsia" w:ascii="仿宋" w:hAnsi="仿宋" w:eastAsia="仿宋"/>
          <w:color w:val="000000" w:themeColor="text1"/>
          <w:sz w:val="24"/>
          <w:szCs w:val="24"/>
        </w:rPr>
        <w:t>：30（投标人无需派代表出席开标会议）；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000000" w:themeColor="text1"/>
          <w:sz w:val="24"/>
        </w:rPr>
        <w:t>在疫情期间，根据浙江省财政厅《关于坚决打赢疫情防控阻击战进一步做好政府采购资金</w:t>
      </w:r>
      <w:r>
        <w:rPr>
          <w:rFonts w:hint="eastAsia" w:ascii="仿宋" w:hAnsi="仿宋" w:eastAsia="仿宋" w:cs="仿宋"/>
          <w:color w:val="auto"/>
          <w:sz w:val="24"/>
        </w:rPr>
        <w:t>支持企业发展工作的通知》（浙财采监﹝2020﹞3号）要求,制订以下付款方式:</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（2）货款支付：项目经采购人验收合格后，</w:t>
      </w:r>
      <w:r>
        <w:rPr>
          <w:rFonts w:hint="eastAsia" w:ascii="仿宋" w:hAnsi="仿宋" w:eastAsia="仿宋" w:cstheme="minorBidi"/>
          <w:color w:val="auto"/>
          <w:sz w:val="24"/>
          <w:lang w:eastAsia="zh-CN"/>
        </w:rPr>
        <w:t>以年度为单位，按实际工作量，据实结算。</w:t>
      </w:r>
      <w:r>
        <w:rPr>
          <w:rFonts w:hint="eastAsia" w:ascii="仿宋" w:hAnsi="仿宋" w:eastAsia="仿宋" w:cstheme="minorBidi"/>
          <w:color w:val="auto"/>
          <w:sz w:val="24"/>
        </w:rPr>
        <w:t>中标人开具发票，一次性</w:t>
      </w:r>
      <w:bookmarkStart w:id="0" w:name="_GoBack"/>
      <w:bookmarkEnd w:id="0"/>
      <w:r>
        <w:rPr>
          <w:rFonts w:hint="eastAsia" w:ascii="仿宋" w:hAnsi="仿宋" w:eastAsia="仿宋" w:cstheme="minorBidi"/>
          <w:color w:val="auto"/>
          <w:sz w:val="24"/>
        </w:rPr>
        <w:t>全额支付货款。</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000000" w:themeColor="text1"/>
          <w:sz w:val="24"/>
        </w:rPr>
      </w:pPr>
      <w:r>
        <w:rPr>
          <w:rFonts w:hint="eastAsia" w:ascii="仿宋" w:hAnsi="仿宋" w:eastAsia="仿宋"/>
          <w:b/>
          <w:color w:val="000000" w:themeColor="text1"/>
          <w:sz w:val="24"/>
        </w:rPr>
        <w:t>交货时间：</w:t>
      </w:r>
      <w:r>
        <w:rPr>
          <w:rFonts w:hint="eastAsia" w:ascii="仿宋" w:hAnsi="仿宋" w:eastAsia="仿宋"/>
          <w:b/>
          <w:color w:val="FF0000"/>
          <w:sz w:val="24"/>
          <w:lang w:val="en-US" w:eastAsia="zh-CN"/>
        </w:rPr>
        <w:t>2021年03月30日前完成，</w:t>
      </w:r>
      <w:r>
        <w:rPr>
          <w:rFonts w:hint="eastAsia" w:ascii="仿宋" w:hAnsi="仿宋" w:eastAsia="仿宋"/>
          <w:b/>
          <w:color w:val="000000" w:themeColor="text1"/>
          <w:sz w:val="24"/>
          <w:lang w:val="en-US" w:eastAsia="zh-CN"/>
        </w:rPr>
        <w:t>并通过验收</w:t>
      </w:r>
      <w:r>
        <w:rPr>
          <w:rFonts w:hint="eastAsia" w:ascii="仿宋" w:hAnsi="仿宋" w:eastAsia="仿宋"/>
          <w:b/>
          <w:color w:val="000000" w:themeColor="text1"/>
          <w:sz w:val="24"/>
        </w:rPr>
        <w:t>。逾期没收履约保证金，采购人有权单方面解除合同。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八、质保期</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ascii="仿宋" w:hAnsi="仿宋" w:eastAsia="仿宋"/>
          <w:color w:val="000000" w:themeColor="text1"/>
          <w:sz w:val="24"/>
        </w:rPr>
      </w:pPr>
      <w:r>
        <w:rPr>
          <w:rFonts w:hint="eastAsia" w:ascii="仿宋" w:hAnsi="仿宋" w:eastAsia="仿宋"/>
          <w:b/>
          <w:color w:val="FF0000"/>
          <w:sz w:val="24"/>
          <w:szCs w:val="24"/>
        </w:rPr>
        <w:t>质保期：1年，自验收合格之日起计算。</w:t>
      </w:r>
      <w:r>
        <w:rPr>
          <w:rFonts w:hint="eastAsia" w:ascii="仿宋" w:hAnsi="仿宋" w:eastAsia="仿宋"/>
          <w:color w:val="000000" w:themeColor="text1"/>
          <w:sz w:val="24"/>
        </w:rPr>
        <w:t>质保期内出现</w:t>
      </w:r>
      <w:r>
        <w:rPr>
          <w:rFonts w:hint="eastAsia" w:ascii="仿宋" w:hAnsi="仿宋" w:eastAsia="仿宋"/>
          <w:color w:val="000000" w:themeColor="text1"/>
          <w:sz w:val="24"/>
          <w:lang w:eastAsia="zh-CN"/>
        </w:rPr>
        <w:t>质量问题</w:t>
      </w:r>
      <w:r>
        <w:rPr>
          <w:rFonts w:hint="eastAsia" w:ascii="仿宋" w:hAnsi="仿宋" w:eastAsia="仿宋"/>
          <w:color w:val="000000" w:themeColor="text1"/>
          <w:sz w:val="24"/>
        </w:rPr>
        <w:t>，中标人应在48小时内完成免费维修或更换。</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color w:val="000000" w:themeColor="text1"/>
          <w:sz w:val="24"/>
          <w:lang w:eastAsia="zh-CN"/>
        </w:rPr>
      </w:pPr>
      <w:r>
        <w:rPr>
          <w:rFonts w:hint="eastAsia" w:ascii="仿宋" w:hAnsi="仿宋" w:eastAsia="仿宋"/>
          <w:b/>
          <w:color w:val="000000" w:themeColor="text1"/>
          <w:sz w:val="24"/>
        </w:rPr>
        <w:t>附件一：</w:t>
      </w:r>
      <w:r>
        <w:rPr>
          <w:rFonts w:hint="eastAsia" w:ascii="仿宋" w:hAnsi="仿宋" w:eastAsia="仿宋"/>
          <w:b/>
          <w:color w:val="000000" w:themeColor="text1"/>
          <w:sz w:val="24"/>
          <w:lang w:eastAsia="zh-CN"/>
        </w:rPr>
        <w:t>采购方案。</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olor w:val="000000" w:themeColor="text1"/>
          <w:sz w:val="24"/>
          <w:szCs w:val="24"/>
        </w:rPr>
      </w:pPr>
      <w:r>
        <w:rPr>
          <w:rFonts w:hint="eastAsia" w:ascii="仿宋" w:hAnsi="仿宋" w:eastAsia="仿宋"/>
          <w:b/>
          <w:color w:val="000000" w:themeColor="text1"/>
          <w:sz w:val="24"/>
        </w:rPr>
        <w:t>附件</w:t>
      </w:r>
      <w:r>
        <w:rPr>
          <w:rFonts w:hint="eastAsia" w:ascii="仿宋" w:hAnsi="仿宋" w:eastAsia="仿宋"/>
          <w:b/>
          <w:color w:val="000000" w:themeColor="text1"/>
          <w:sz w:val="24"/>
          <w:lang w:eastAsia="zh-CN"/>
        </w:rPr>
        <w:t>二</w:t>
      </w:r>
      <w:r>
        <w:rPr>
          <w:rFonts w:hint="eastAsia" w:ascii="仿宋" w:hAnsi="仿宋" w:eastAsia="仿宋"/>
          <w:b/>
          <w:color w:val="000000" w:themeColor="text1"/>
          <w:sz w:val="24"/>
        </w:rPr>
        <w:t>：</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hint="eastAsia" w:ascii="仿宋" w:hAnsi="仿宋" w:eastAsia="仿宋"/>
          <w:b/>
          <w:color w:val="000000" w:themeColor="text1"/>
          <w:sz w:val="24"/>
          <w:szCs w:val="24"/>
        </w:rPr>
      </w:pPr>
      <w:r>
        <w:rPr>
          <w:rFonts w:hint="eastAsia" w:ascii="仿宋" w:hAnsi="仿宋" w:eastAsia="仿宋"/>
          <w:b/>
          <w:color w:val="000000" w:themeColor="text1"/>
          <w:sz w:val="24"/>
          <w:szCs w:val="24"/>
        </w:rPr>
        <w:t>2020年</w:t>
      </w:r>
      <w:r>
        <w:rPr>
          <w:rFonts w:hint="eastAsia" w:ascii="仿宋" w:hAnsi="仿宋" w:eastAsia="仿宋"/>
          <w:b/>
          <w:color w:val="000000" w:themeColor="text1"/>
          <w:sz w:val="24"/>
          <w:szCs w:val="24"/>
          <w:lang w:val="en-US" w:eastAsia="zh-CN"/>
        </w:rPr>
        <w:t>12</w:t>
      </w:r>
      <w:r>
        <w:rPr>
          <w:rFonts w:hint="eastAsia" w:ascii="仿宋" w:hAnsi="仿宋" w:eastAsia="仿宋"/>
          <w:b/>
          <w:color w:val="000000" w:themeColor="text1"/>
          <w:sz w:val="24"/>
          <w:szCs w:val="24"/>
        </w:rPr>
        <w:t>月</w:t>
      </w:r>
      <w:r>
        <w:rPr>
          <w:rFonts w:hint="eastAsia" w:ascii="仿宋" w:hAnsi="仿宋" w:eastAsia="仿宋"/>
          <w:b/>
          <w:color w:val="000000" w:themeColor="text1"/>
          <w:sz w:val="24"/>
          <w:szCs w:val="24"/>
          <w:lang w:val="en-US" w:eastAsia="zh-CN"/>
        </w:rPr>
        <w:t>07</w:t>
      </w:r>
      <w:r>
        <w:rPr>
          <w:rFonts w:hint="eastAsia" w:ascii="仿宋" w:hAnsi="仿宋" w:eastAsia="仿宋"/>
          <w:b/>
          <w:color w:val="000000" w:themeColor="text1"/>
          <w:sz w:val="24"/>
          <w:szCs w:val="24"/>
        </w:rPr>
        <w:t>日</w:t>
      </w:r>
    </w:p>
    <w:p>
      <w:pPr>
        <w:ind w:right="480" w:firstLine="5180" w:firstLineChars="2150"/>
        <w:rPr>
          <w:rFonts w:hint="eastAsia" w:ascii="仿宋" w:hAnsi="仿宋" w:eastAsia="仿宋"/>
          <w:b/>
          <w:color w:val="000000" w:themeColor="text1"/>
          <w:sz w:val="24"/>
          <w:szCs w:val="24"/>
        </w:rPr>
      </w:pPr>
    </w:p>
    <w:p>
      <w:pPr>
        <w:ind w:right="480" w:firstLine="5180" w:firstLineChars="2150"/>
        <w:rPr>
          <w:rFonts w:hint="eastAsia" w:ascii="仿宋" w:hAnsi="仿宋" w:eastAsia="仿宋"/>
          <w:b/>
          <w:color w:val="000000" w:themeColor="text1"/>
          <w:sz w:val="24"/>
          <w:szCs w:val="24"/>
        </w:rPr>
      </w:pPr>
    </w:p>
    <w:p>
      <w:pPr>
        <w:ind w:right="480" w:firstLine="5180" w:firstLineChars="2150"/>
        <w:rPr>
          <w:rFonts w:hint="eastAsia" w:ascii="仿宋" w:hAnsi="仿宋" w:eastAsia="仿宋"/>
          <w:b/>
          <w:color w:val="000000" w:themeColor="text1"/>
          <w:sz w:val="24"/>
          <w:szCs w:val="24"/>
        </w:rPr>
      </w:pPr>
    </w:p>
    <w:p>
      <w:pPr>
        <w:pStyle w:val="3"/>
        <w:snapToGrid w:val="0"/>
        <w:spacing w:beforeLines="0" w:afterLines="0" w:line="240" w:lineRule="auto"/>
        <w:jc w:val="left"/>
        <w:rPr>
          <w:rFonts w:hint="eastAsia" w:ascii="黑体" w:hAnsi="黑体" w:eastAsia="黑体"/>
          <w:b/>
          <w:bCs/>
          <w:color w:val="000000" w:themeColor="text1"/>
          <w:lang w:val="en-US" w:eastAsia="zh-CN"/>
        </w:rPr>
      </w:pPr>
      <w:r>
        <w:rPr>
          <w:rFonts w:hint="eastAsia" w:ascii="黑体" w:hAnsi="黑体" w:eastAsia="黑体"/>
          <w:b/>
          <w:bCs/>
          <w:color w:val="000000" w:themeColor="text1"/>
          <w:lang w:eastAsia="zh-CN"/>
        </w:rPr>
        <w:t>附件</w:t>
      </w:r>
      <w:r>
        <w:rPr>
          <w:rFonts w:hint="eastAsia" w:ascii="黑体" w:hAnsi="黑体" w:eastAsia="黑体"/>
          <w:b/>
          <w:bCs/>
          <w:color w:val="000000" w:themeColor="text1"/>
          <w:lang w:val="en-US" w:eastAsia="zh-CN"/>
        </w:rPr>
        <w:t>1：</w:t>
      </w:r>
      <w:r>
        <w:rPr>
          <w:rFonts w:hint="eastAsia" w:ascii="仿宋" w:hAnsi="仿宋" w:eastAsia="仿宋"/>
          <w:b/>
          <w:color w:val="000000" w:themeColor="text1"/>
          <w:sz w:val="24"/>
          <w:lang w:eastAsia="zh-CN"/>
        </w:rPr>
        <w:t>采购方案</w:t>
      </w:r>
    </w:p>
    <w:p>
      <w:pPr>
        <w:jc w:val="center"/>
        <w:rPr>
          <w:rFonts w:asciiTheme="minorEastAsia" w:hAnsiTheme="minorEastAsia"/>
          <w:b/>
          <w:sz w:val="32"/>
          <w:szCs w:val="32"/>
        </w:rPr>
      </w:pPr>
      <w:r>
        <w:rPr>
          <w:rFonts w:hint="eastAsia" w:asciiTheme="minorEastAsia" w:hAnsiTheme="minorEastAsia"/>
          <w:b/>
          <w:sz w:val="32"/>
          <w:szCs w:val="32"/>
        </w:rPr>
        <w:t>湖州师范学院保卫处消防疏散示意图制作与安装项目</w:t>
      </w:r>
    </w:p>
    <w:p>
      <w:pPr>
        <w:pStyle w:val="13"/>
        <w:numPr>
          <w:ilvl w:val="0"/>
          <w:numId w:val="2"/>
        </w:numPr>
        <w:ind w:firstLineChars="0"/>
        <w:rPr>
          <w:rFonts w:asciiTheme="minorEastAsia" w:hAnsiTheme="minorEastAsia"/>
        </w:rPr>
      </w:pPr>
      <w:r>
        <w:rPr>
          <w:rFonts w:hint="eastAsia" w:asciiTheme="minorEastAsia" w:hAnsiTheme="minorEastAsia"/>
        </w:rPr>
        <w:t>项目名称：保卫处消防疏散示意图制作与安装</w:t>
      </w:r>
    </w:p>
    <w:p>
      <w:pPr>
        <w:pStyle w:val="13"/>
        <w:numPr>
          <w:ilvl w:val="0"/>
          <w:numId w:val="2"/>
        </w:numPr>
        <w:ind w:firstLineChars="0"/>
        <w:rPr>
          <w:rFonts w:asciiTheme="minorEastAsia" w:hAnsiTheme="minorEastAsia"/>
        </w:rPr>
      </w:pPr>
      <w:r>
        <w:rPr>
          <w:rFonts w:hint="eastAsia" w:asciiTheme="minorEastAsia" w:hAnsiTheme="minorEastAsia"/>
        </w:rPr>
        <w:t>采购数量、材质、数量等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044"/>
        <w:gridCol w:w="888"/>
        <w:gridCol w:w="1662"/>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spacing w:before="0" w:after="0" w:line="240" w:lineRule="auto"/>
              <w:jc w:val="center"/>
              <w:rPr>
                <w:rFonts w:asciiTheme="minorEastAsia" w:hAnsiTheme="minorEastAsia"/>
              </w:rPr>
            </w:pPr>
            <w:r>
              <w:rPr>
                <w:rFonts w:hint="eastAsia" w:asciiTheme="minorEastAsia" w:hAnsiTheme="minorEastAsia"/>
              </w:rPr>
              <w:t>序号</w:t>
            </w:r>
          </w:p>
        </w:tc>
        <w:tc>
          <w:tcPr>
            <w:tcW w:w="2044" w:type="dxa"/>
            <w:vAlign w:val="center"/>
          </w:tcPr>
          <w:p>
            <w:pPr>
              <w:spacing w:before="0" w:after="0" w:line="240" w:lineRule="auto"/>
              <w:jc w:val="center"/>
              <w:rPr>
                <w:rFonts w:asciiTheme="minorEastAsia" w:hAnsiTheme="minorEastAsia"/>
              </w:rPr>
            </w:pPr>
            <w:r>
              <w:rPr>
                <w:rFonts w:hint="eastAsia" w:asciiTheme="minorEastAsia" w:hAnsiTheme="minorEastAsia"/>
              </w:rPr>
              <w:t>尺寸</w:t>
            </w:r>
          </w:p>
        </w:tc>
        <w:tc>
          <w:tcPr>
            <w:tcW w:w="888" w:type="dxa"/>
            <w:vAlign w:val="center"/>
          </w:tcPr>
          <w:p>
            <w:pPr>
              <w:spacing w:before="0" w:after="0" w:line="240" w:lineRule="auto"/>
              <w:jc w:val="center"/>
              <w:rPr>
                <w:rFonts w:asciiTheme="minorEastAsia" w:hAnsiTheme="minorEastAsia"/>
              </w:rPr>
            </w:pPr>
            <w:r>
              <w:rPr>
                <w:rFonts w:hint="eastAsia" w:asciiTheme="minorEastAsia" w:hAnsiTheme="minorEastAsia"/>
              </w:rPr>
              <w:t>数量</w:t>
            </w:r>
          </w:p>
        </w:tc>
        <w:tc>
          <w:tcPr>
            <w:tcW w:w="1662" w:type="dxa"/>
            <w:vAlign w:val="center"/>
          </w:tcPr>
          <w:p>
            <w:pPr>
              <w:spacing w:before="0" w:after="0" w:line="240" w:lineRule="auto"/>
              <w:jc w:val="center"/>
              <w:rPr>
                <w:rFonts w:asciiTheme="minorEastAsia" w:hAnsiTheme="minorEastAsia"/>
              </w:rPr>
            </w:pPr>
            <w:r>
              <w:rPr>
                <w:rFonts w:hint="eastAsia" w:asciiTheme="minorEastAsia" w:hAnsiTheme="minorEastAsia"/>
              </w:rPr>
              <w:t>材质</w:t>
            </w:r>
          </w:p>
        </w:tc>
        <w:tc>
          <w:tcPr>
            <w:tcW w:w="2275" w:type="dxa"/>
            <w:vAlign w:val="center"/>
          </w:tcPr>
          <w:p>
            <w:pPr>
              <w:spacing w:before="0" w:after="0" w:line="240" w:lineRule="auto"/>
              <w:jc w:val="center"/>
              <w:rPr>
                <w:rFonts w:asciiTheme="minorEastAsia" w:hAnsiTheme="minorEastAsia"/>
              </w:rPr>
            </w:pPr>
            <w:r>
              <w:rPr>
                <w:rFonts w:hint="eastAsia" w:asciiTheme="minorEastAsia" w:hAnsiTheme="minorEastAsia"/>
              </w:rPr>
              <w:t>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spacing w:before="0" w:after="0" w:line="240" w:lineRule="auto"/>
              <w:jc w:val="center"/>
              <w:rPr>
                <w:rFonts w:asciiTheme="minorEastAsia" w:hAnsiTheme="minorEastAsia"/>
              </w:rPr>
            </w:pPr>
            <w:r>
              <w:rPr>
                <w:rFonts w:hint="eastAsia" w:asciiTheme="minorEastAsia" w:hAnsiTheme="minorEastAsia"/>
              </w:rPr>
              <w:t>1</w:t>
            </w:r>
          </w:p>
        </w:tc>
        <w:tc>
          <w:tcPr>
            <w:tcW w:w="2044" w:type="dxa"/>
            <w:vAlign w:val="center"/>
          </w:tcPr>
          <w:p>
            <w:pPr>
              <w:spacing w:before="0" w:after="0" w:line="240" w:lineRule="auto"/>
              <w:jc w:val="center"/>
              <w:rPr>
                <w:rFonts w:asciiTheme="minorEastAsia" w:hAnsiTheme="minorEastAsia"/>
              </w:rPr>
            </w:pPr>
            <w:r>
              <w:rPr>
                <w:rFonts w:hint="eastAsia" w:asciiTheme="minorEastAsia" w:hAnsiTheme="minorEastAsia"/>
              </w:rPr>
              <w:t>30*40cm，5mm厚</w:t>
            </w:r>
          </w:p>
        </w:tc>
        <w:tc>
          <w:tcPr>
            <w:tcW w:w="888" w:type="dxa"/>
            <w:vAlign w:val="center"/>
          </w:tcPr>
          <w:p>
            <w:pPr>
              <w:spacing w:before="0" w:after="0" w:line="240" w:lineRule="auto"/>
              <w:jc w:val="center"/>
              <w:rPr>
                <w:rFonts w:asciiTheme="minorEastAsia" w:hAnsiTheme="minorEastAsia"/>
              </w:rPr>
            </w:pPr>
            <w:r>
              <w:rPr>
                <w:rFonts w:hint="eastAsia" w:asciiTheme="minorEastAsia" w:hAnsiTheme="minorEastAsia"/>
              </w:rPr>
              <w:t>440</w:t>
            </w:r>
          </w:p>
        </w:tc>
        <w:tc>
          <w:tcPr>
            <w:tcW w:w="1662" w:type="dxa"/>
            <w:vAlign w:val="center"/>
          </w:tcPr>
          <w:p>
            <w:pPr>
              <w:spacing w:before="0" w:after="0" w:line="240" w:lineRule="auto"/>
              <w:jc w:val="center"/>
              <w:rPr>
                <w:rFonts w:asciiTheme="minorEastAsia" w:hAnsiTheme="minorEastAsia"/>
              </w:rPr>
            </w:pPr>
            <w:r>
              <w:rPr>
                <w:rFonts w:hint="eastAsia" w:asciiTheme="minorEastAsia" w:hAnsiTheme="minorEastAsia"/>
              </w:rPr>
              <w:t>透明亚克力</w:t>
            </w:r>
          </w:p>
        </w:tc>
        <w:tc>
          <w:tcPr>
            <w:tcW w:w="2275" w:type="dxa"/>
            <w:vAlign w:val="center"/>
          </w:tcPr>
          <w:p>
            <w:pPr>
              <w:spacing w:before="0" w:after="0" w:line="240" w:lineRule="auto"/>
              <w:jc w:val="center"/>
              <w:rPr>
                <w:rFonts w:asciiTheme="minorEastAsia" w:hAnsiTheme="minorEastAsia"/>
              </w:rPr>
            </w:pPr>
            <w:r>
              <w:rPr>
                <w:rFonts w:hint="eastAsia" w:asciiTheme="minorEastAsia" w:hAnsiTheme="minorEastAsia"/>
              </w:rPr>
              <w:t>UV背喷，加镀层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before="0" w:after="0" w:line="240" w:lineRule="auto"/>
              <w:jc w:val="center"/>
              <w:rPr>
                <w:rFonts w:asciiTheme="minorEastAsia" w:hAnsiTheme="minorEastAsia"/>
              </w:rPr>
            </w:pPr>
            <w:r>
              <w:rPr>
                <w:rFonts w:hint="eastAsia" w:asciiTheme="minorEastAsia" w:hAnsiTheme="minorEastAsia"/>
              </w:rPr>
              <w:t>2</w:t>
            </w:r>
          </w:p>
        </w:tc>
        <w:tc>
          <w:tcPr>
            <w:tcW w:w="2044" w:type="dxa"/>
            <w:vAlign w:val="center"/>
          </w:tcPr>
          <w:p>
            <w:pPr>
              <w:spacing w:before="0" w:after="0" w:line="240" w:lineRule="auto"/>
              <w:jc w:val="center"/>
              <w:rPr>
                <w:rFonts w:asciiTheme="minorEastAsia" w:hAnsiTheme="minorEastAsia"/>
              </w:rPr>
            </w:pPr>
            <w:r>
              <w:rPr>
                <w:rFonts w:hint="eastAsia" w:asciiTheme="minorEastAsia" w:hAnsiTheme="minorEastAsia"/>
              </w:rPr>
              <w:t>40*60cm，8mm厚</w:t>
            </w:r>
          </w:p>
        </w:tc>
        <w:tc>
          <w:tcPr>
            <w:tcW w:w="888" w:type="dxa"/>
            <w:vAlign w:val="center"/>
          </w:tcPr>
          <w:p>
            <w:pPr>
              <w:spacing w:before="0" w:after="0" w:line="240" w:lineRule="auto"/>
              <w:jc w:val="center"/>
              <w:rPr>
                <w:rFonts w:asciiTheme="minorEastAsia" w:hAnsiTheme="minorEastAsia"/>
              </w:rPr>
            </w:pPr>
            <w:r>
              <w:rPr>
                <w:rFonts w:hint="eastAsia" w:asciiTheme="minorEastAsia" w:hAnsiTheme="minorEastAsia"/>
              </w:rPr>
              <w:t>423</w:t>
            </w:r>
          </w:p>
        </w:tc>
        <w:tc>
          <w:tcPr>
            <w:tcW w:w="1662" w:type="dxa"/>
            <w:vAlign w:val="center"/>
          </w:tcPr>
          <w:p>
            <w:pPr>
              <w:spacing w:before="0" w:after="0" w:line="240" w:lineRule="auto"/>
              <w:jc w:val="center"/>
              <w:rPr>
                <w:rFonts w:asciiTheme="minorEastAsia" w:hAnsiTheme="minorEastAsia"/>
              </w:rPr>
            </w:pPr>
            <w:r>
              <w:rPr>
                <w:rFonts w:hint="eastAsia" w:asciiTheme="minorEastAsia" w:hAnsiTheme="minorEastAsia"/>
              </w:rPr>
              <w:t>透明亚克力</w:t>
            </w:r>
          </w:p>
        </w:tc>
        <w:tc>
          <w:tcPr>
            <w:tcW w:w="2275" w:type="dxa"/>
            <w:vAlign w:val="center"/>
          </w:tcPr>
          <w:p>
            <w:pPr>
              <w:spacing w:before="0" w:after="0" w:line="240" w:lineRule="auto"/>
              <w:jc w:val="center"/>
              <w:rPr>
                <w:rFonts w:asciiTheme="minorEastAsia" w:hAnsiTheme="minorEastAsia"/>
              </w:rPr>
            </w:pPr>
            <w:r>
              <w:rPr>
                <w:rFonts w:hint="eastAsia" w:asciiTheme="minorEastAsia" w:hAnsiTheme="minorEastAsia"/>
              </w:rPr>
              <w:t>UV背喷，加镀层</w:t>
            </w:r>
          </w:p>
        </w:tc>
      </w:tr>
    </w:tbl>
    <w:p>
      <w:pPr>
        <w:rPr>
          <w:rFonts w:hint="eastAsia" w:asciiTheme="minorEastAsia" w:hAnsiTheme="minorEastAsia" w:eastAsiaTheme="minorEastAsia"/>
          <w:b/>
          <w:bCs/>
          <w:color w:val="FF0000"/>
          <w:lang w:eastAsia="zh-CN"/>
        </w:rPr>
      </w:pPr>
      <w:r>
        <w:rPr>
          <w:rFonts w:hint="eastAsia" w:asciiTheme="minorEastAsia" w:hAnsiTheme="minorEastAsia"/>
        </w:rPr>
        <w:t>具体分布详见楼宇分配清单</w:t>
      </w:r>
      <w:r>
        <w:rPr>
          <w:rFonts w:hint="eastAsia" w:asciiTheme="minorEastAsia" w:hAnsiTheme="minorEastAsia"/>
          <w:lang w:eastAsia="zh-CN"/>
        </w:rPr>
        <w:t>，</w:t>
      </w:r>
      <w:r>
        <w:rPr>
          <w:rFonts w:hint="eastAsia" w:asciiTheme="minorEastAsia" w:hAnsiTheme="minorEastAsia"/>
          <w:b/>
          <w:bCs/>
          <w:color w:val="FF0000"/>
          <w:lang w:eastAsia="zh-CN"/>
        </w:rPr>
        <w:t>实际数量可能略有出入</w:t>
      </w:r>
      <w:r>
        <w:rPr>
          <w:rFonts w:hint="eastAsia" w:asciiTheme="minorEastAsia" w:hAnsiTheme="minorEastAsia"/>
          <w:b/>
          <w:bCs/>
          <w:color w:val="FF0000"/>
        </w:rPr>
        <w:t>，</w:t>
      </w:r>
      <w:r>
        <w:rPr>
          <w:rFonts w:hint="eastAsia" w:asciiTheme="minorEastAsia" w:hAnsiTheme="minorEastAsia"/>
          <w:b/>
          <w:bCs/>
          <w:color w:val="FF0000"/>
          <w:lang w:eastAsia="zh-CN"/>
        </w:rPr>
        <w:t>结算时按成交单价，据实结算</w:t>
      </w:r>
    </w:p>
    <w:p>
      <w:pPr>
        <w:pStyle w:val="13"/>
        <w:numPr>
          <w:ilvl w:val="0"/>
          <w:numId w:val="2"/>
        </w:numPr>
        <w:ind w:firstLineChars="0"/>
        <w:rPr>
          <w:rFonts w:asciiTheme="minorEastAsia" w:hAnsiTheme="minorEastAsia"/>
        </w:rPr>
      </w:pPr>
      <w:r>
        <w:rPr>
          <w:rFonts w:hint="eastAsia" w:asciiTheme="minorEastAsia" w:hAnsiTheme="minorEastAsia"/>
        </w:rPr>
        <w:t>采购要求</w:t>
      </w:r>
    </w:p>
    <w:p>
      <w:pPr>
        <w:pStyle w:val="13"/>
        <w:numPr>
          <w:ilvl w:val="0"/>
          <w:numId w:val="3"/>
        </w:numPr>
        <w:ind w:firstLineChars="0"/>
        <w:rPr>
          <w:rFonts w:asciiTheme="minorEastAsia" w:hAnsiTheme="minorEastAsia"/>
        </w:rPr>
      </w:pPr>
      <w:r>
        <w:rPr>
          <w:rFonts w:hint="eastAsia" w:asciiTheme="minorEastAsia" w:hAnsiTheme="minorEastAsia"/>
        </w:rPr>
        <w:t>根据提供的手绘图或者电子图，对楼宇的逃生图进行设计制作。</w:t>
      </w:r>
    </w:p>
    <w:p>
      <w:pPr>
        <w:pStyle w:val="13"/>
        <w:numPr>
          <w:ilvl w:val="0"/>
          <w:numId w:val="3"/>
        </w:numPr>
        <w:ind w:firstLineChars="0"/>
        <w:rPr>
          <w:rFonts w:asciiTheme="minorEastAsia" w:hAnsiTheme="minorEastAsia"/>
        </w:rPr>
      </w:pPr>
      <w:r>
        <w:rPr>
          <w:rFonts w:hint="eastAsia" w:asciiTheme="minorEastAsia" w:hAnsiTheme="minorEastAsia"/>
        </w:rPr>
        <w:t>逃生图采用透明亚克力UV背喷，加镀层，四角开孔广告钉固定（如安装墙壁是瓷砖，可用玻璃胶固定）。</w:t>
      </w:r>
    </w:p>
    <w:p>
      <w:pPr>
        <w:pStyle w:val="13"/>
        <w:numPr>
          <w:ilvl w:val="0"/>
          <w:numId w:val="3"/>
        </w:numPr>
        <w:ind w:firstLineChars="0"/>
        <w:rPr>
          <w:rFonts w:asciiTheme="minorEastAsia" w:hAnsiTheme="minorEastAsia"/>
        </w:rPr>
      </w:pPr>
      <w:r>
        <w:rPr>
          <w:rFonts w:hint="eastAsia" w:asciiTheme="minorEastAsia" w:hAnsiTheme="minorEastAsia"/>
        </w:rPr>
        <w:t>对制作好的逃生示意图分楼宇、楼层进行安装，安装位置合理、牢固。</w:t>
      </w:r>
    </w:p>
    <w:p>
      <w:pPr>
        <w:pStyle w:val="13"/>
        <w:numPr>
          <w:ilvl w:val="0"/>
          <w:numId w:val="3"/>
        </w:numPr>
        <w:ind w:firstLineChars="0"/>
        <w:rPr>
          <w:rFonts w:asciiTheme="minorEastAsia" w:hAnsiTheme="minorEastAsia"/>
        </w:rPr>
      </w:pPr>
      <w:r>
        <w:rPr>
          <w:rFonts w:hint="eastAsia" w:asciiTheme="minorEastAsia" w:hAnsiTheme="minorEastAsia"/>
        </w:rPr>
        <w:t>逃生示意图应设置亚克力盒子，用于放置巡查员、引导员，且便于进行更换。</w:t>
      </w:r>
    </w:p>
    <w:p>
      <w:pPr>
        <w:pStyle w:val="13"/>
        <w:numPr>
          <w:ilvl w:val="0"/>
          <w:numId w:val="3"/>
        </w:numPr>
        <w:ind w:firstLineChars="0"/>
        <w:rPr>
          <w:rFonts w:asciiTheme="minorEastAsia" w:hAnsiTheme="minorEastAsia"/>
        </w:rPr>
      </w:pPr>
      <w:r>
        <w:rPr>
          <w:rFonts w:hint="eastAsia" w:asciiTheme="minorEastAsia" w:hAnsiTheme="minorEastAsia"/>
        </w:rPr>
        <w:t>请提供小块样品。</w:t>
      </w:r>
    </w:p>
    <w:p>
      <w:pPr>
        <w:pStyle w:val="13"/>
        <w:numPr>
          <w:ilvl w:val="0"/>
          <w:numId w:val="2"/>
        </w:numPr>
        <w:ind w:firstLineChars="0"/>
        <w:rPr>
          <w:rFonts w:asciiTheme="minorEastAsia" w:hAnsiTheme="minorEastAsia"/>
        </w:rPr>
      </w:pPr>
      <w:r>
        <w:rPr>
          <w:rFonts w:hint="eastAsia" w:asciiTheme="minorEastAsia" w:hAnsiTheme="minorEastAsia"/>
        </w:rPr>
        <w:t>逃生示意图设计要求：</w:t>
      </w:r>
    </w:p>
    <w:p>
      <w:pPr>
        <w:pStyle w:val="13"/>
        <w:numPr>
          <w:ilvl w:val="0"/>
          <w:numId w:val="4"/>
        </w:numPr>
        <w:ind w:firstLineChars="0"/>
        <w:rPr>
          <w:rFonts w:asciiTheme="minorEastAsia" w:hAnsiTheme="minorEastAsia"/>
        </w:rPr>
      </w:pPr>
      <w:r>
        <w:rPr>
          <w:rFonts w:hint="eastAsia" w:asciiTheme="minorEastAsia" w:hAnsiTheme="minorEastAsia"/>
        </w:rPr>
        <w:t>示意图应包含楼层平面图、您所在的位置、逃生线路、安全出口（楼梯）、消防设备所在位置、安全提示语等要素，用不同颜色区分。</w:t>
      </w:r>
    </w:p>
    <w:p>
      <w:pPr>
        <w:pStyle w:val="13"/>
        <w:numPr>
          <w:ilvl w:val="0"/>
          <w:numId w:val="4"/>
        </w:numPr>
        <w:ind w:firstLineChars="0"/>
        <w:rPr>
          <w:rFonts w:asciiTheme="minorEastAsia" w:hAnsiTheme="minorEastAsia"/>
        </w:rPr>
      </w:pPr>
      <w:r>
        <w:rPr>
          <w:rFonts w:hint="eastAsia" w:asciiTheme="minorEastAsia" w:hAnsiTheme="minorEastAsia"/>
        </w:rPr>
        <w:t>示意图应简洁醒目，逃生路线应清晰，避免过于繁琐复杂。</w:t>
      </w:r>
    </w:p>
    <w:p>
      <w:pPr>
        <w:pStyle w:val="13"/>
        <w:numPr>
          <w:ilvl w:val="0"/>
          <w:numId w:val="4"/>
        </w:numPr>
        <w:ind w:firstLineChars="0"/>
        <w:rPr>
          <w:rFonts w:asciiTheme="minorEastAsia" w:hAnsiTheme="minorEastAsia"/>
        </w:rPr>
      </w:pPr>
      <w:r>
        <w:rPr>
          <w:rFonts w:hint="eastAsia" w:asciiTheme="minorEastAsia" w:hAnsiTheme="minorEastAsia"/>
        </w:rPr>
        <w:t>逃生示意图有方向坐标指示。</w:t>
      </w:r>
    </w:p>
    <w:p>
      <w:pPr>
        <w:pStyle w:val="13"/>
        <w:numPr>
          <w:ilvl w:val="0"/>
          <w:numId w:val="4"/>
        </w:numPr>
        <w:ind w:firstLineChars="0"/>
        <w:rPr>
          <w:rFonts w:asciiTheme="minorEastAsia" w:hAnsiTheme="minorEastAsia"/>
        </w:rPr>
      </w:pPr>
      <w:r>
        <w:rPr>
          <w:rFonts w:hint="eastAsia" w:asciiTheme="minorEastAsia" w:hAnsiTheme="minorEastAsia"/>
        </w:rPr>
        <w:t>设计排版整洁、漂亮。</w:t>
      </w:r>
    </w:p>
    <w:p>
      <w:pPr>
        <w:jc w:val="both"/>
        <w:rPr>
          <w:rFonts w:hint="eastAsia" w:asciiTheme="minorEastAsia" w:hAnsiTheme="minorEastAsia"/>
          <w:b w:val="0"/>
          <w:bCs w:val="0"/>
        </w:rPr>
      </w:pPr>
      <w:r>
        <w:rPr>
          <w:rFonts w:hint="eastAsia" w:asciiTheme="minorEastAsia" w:hAnsiTheme="minorEastAsia"/>
          <w:b w:val="0"/>
          <w:bCs w:val="0"/>
          <w:lang w:eastAsia="zh-CN"/>
        </w:rPr>
        <w:t>五、</w:t>
      </w:r>
      <w:r>
        <w:rPr>
          <w:rFonts w:hint="eastAsia" w:asciiTheme="minorEastAsia" w:hAnsiTheme="minorEastAsia"/>
          <w:b w:val="0"/>
          <w:bCs w:val="0"/>
        </w:rPr>
        <w:t>楼宇数量分布清单</w:t>
      </w:r>
    </w:p>
    <w:tbl>
      <w:tblPr>
        <w:tblStyle w:val="9"/>
        <w:tblW w:w="9228" w:type="dxa"/>
        <w:jc w:val="center"/>
        <w:tblLayout w:type="autofit"/>
        <w:tblCellMar>
          <w:top w:w="0" w:type="dxa"/>
          <w:left w:w="108" w:type="dxa"/>
          <w:bottom w:w="0" w:type="dxa"/>
          <w:right w:w="108" w:type="dxa"/>
        </w:tblCellMar>
      </w:tblPr>
      <w:tblGrid>
        <w:gridCol w:w="2350"/>
        <w:gridCol w:w="1258"/>
        <w:gridCol w:w="740"/>
        <w:gridCol w:w="1100"/>
        <w:gridCol w:w="3780"/>
      </w:tblGrid>
      <w:tr>
        <w:tblPrEx>
          <w:tblCellMar>
            <w:top w:w="0" w:type="dxa"/>
            <w:left w:w="108" w:type="dxa"/>
            <w:bottom w:w="0" w:type="dxa"/>
            <w:right w:w="108" w:type="dxa"/>
          </w:tblCellMar>
        </w:tblPrEx>
        <w:trPr>
          <w:trHeight w:val="399" w:hRule="atLeast"/>
          <w:jc w:val="center"/>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楼宇</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楼层</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尺寸</w:t>
            </w:r>
          </w:p>
        </w:tc>
        <w:tc>
          <w:tcPr>
            <w:tcW w:w="3780"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A4宿舍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A5宿舍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A6宿舍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A7宿舍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A8宿舍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A9宿舍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A10宿舍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A11宿舍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A12宿舍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A13宿舍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A14宿舍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A15宿舍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A16宿舍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A17宿舍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A18宿舍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A19宿舍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A20宿舍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A21宿舍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A22宿舍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A23宿舍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A24宿舍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A25宿舍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A26宿舍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A27宿舍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A28宿舍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A29宿舍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A30宿舍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A31宿舍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A32宿舍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A33宿舍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A34宿舍</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熙培专家楼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30*40cm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6号教学楼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7号教学楼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8号教学楼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明知楼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2-12层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校史馆</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沈左尧图书馆</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沈左尧图书馆</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沈左尧图书馆</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4-12层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燕英体育馆</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和悦餐厅</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和谐餐厅</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门诊部</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建树大厦</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12号教学楼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13号教学楼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音乐厅</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和谐餐厅</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明德楼（19号楼）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20号楼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26号学院楼（医学院）</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27号学院楼（医学院）</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29号学院楼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30号教学楼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31号教学楼（信工学院）</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32号教学楼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33号教学楼</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东图书馆</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车库层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东图书馆</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东图书馆</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36号学院楼（商学院）</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会堂</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和润餐厅</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云锦餐厅</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1层</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nil"/>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风雨操场</w:t>
            </w:r>
          </w:p>
        </w:tc>
        <w:tc>
          <w:tcPr>
            <w:tcW w:w="1258"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1层　</w:t>
            </w:r>
          </w:p>
        </w:tc>
        <w:tc>
          <w:tcPr>
            <w:tcW w:w="74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10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40*60cm</w:t>
            </w:r>
          </w:p>
        </w:tc>
        <w:tc>
          <w:tcPr>
            <w:tcW w:w="3780" w:type="dxa"/>
            <w:tcBorders>
              <w:top w:val="nil"/>
              <w:left w:val="nil"/>
              <w:bottom w:val="single" w:color="auto" w:sz="4" w:space="0"/>
              <w:right w:val="single" w:color="auto" w:sz="4" w:space="0"/>
            </w:tcBorders>
            <w:shd w:val="clear" w:color="auto" w:fill="auto"/>
            <w:vAlign w:val="center"/>
          </w:tcPr>
          <w:p>
            <w:pPr>
              <w:widowControl/>
              <w:spacing w:before="0" w:after="0" w:line="240" w:lineRule="auto"/>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8mm透明亚克力UV背喷+广告钉固定</w:t>
            </w:r>
          </w:p>
        </w:tc>
      </w:tr>
      <w:tr>
        <w:tblPrEx>
          <w:tblCellMar>
            <w:top w:w="0" w:type="dxa"/>
            <w:left w:w="108" w:type="dxa"/>
            <w:bottom w:w="0" w:type="dxa"/>
            <w:right w:w="108" w:type="dxa"/>
          </w:tblCellMar>
        </w:tblPrEx>
        <w:trPr>
          <w:trHeight w:val="399" w:hRule="atLeast"/>
          <w:jc w:val="center"/>
        </w:trPr>
        <w:tc>
          <w:tcPr>
            <w:tcW w:w="2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0" w:after="0" w:line="240" w:lineRule="auto"/>
              <w:jc w:val="center"/>
              <w:rPr>
                <w:rFonts w:hint="eastAsia" w:ascii="宋体" w:hAnsi="宋体" w:eastAsia="宋体" w:cs="宋体"/>
                <w:color w:val="000000"/>
                <w:kern w:val="0"/>
                <w:sz w:val="21"/>
                <w:szCs w:val="21"/>
              </w:rPr>
            </w:pP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hint="eastAsia" w:ascii="宋体" w:hAnsi="宋体" w:eastAsia="宋体" w:cs="宋体"/>
                <w:color w:val="000000"/>
                <w:kern w:val="0"/>
                <w:sz w:val="21"/>
                <w:szCs w:val="21"/>
              </w:rPr>
            </w:pP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hint="eastAsia" w:ascii="宋体" w:hAnsi="宋体" w:eastAsia="宋体" w:cs="宋体"/>
                <w:color w:val="000000"/>
                <w:kern w:val="0"/>
                <w:sz w:val="21"/>
                <w:szCs w:val="21"/>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863</w:t>
            </w:r>
          </w:p>
        </w:tc>
        <w:tc>
          <w:tcPr>
            <w:tcW w:w="3780" w:type="dxa"/>
            <w:tcBorders>
              <w:top w:val="single" w:color="auto" w:sz="4" w:space="0"/>
              <w:left w:val="nil"/>
              <w:bottom w:val="single" w:color="auto" w:sz="4" w:space="0"/>
              <w:right w:val="single" w:color="auto" w:sz="4" w:space="0"/>
            </w:tcBorders>
            <w:shd w:val="clear" w:color="auto" w:fill="auto"/>
            <w:vAlign w:val="center"/>
          </w:tcPr>
          <w:p>
            <w:pPr>
              <w:widowControl/>
              <w:spacing w:before="0" w:after="0" w:line="240" w:lineRule="auto"/>
              <w:jc w:val="center"/>
              <w:rPr>
                <w:rFonts w:hint="eastAsia" w:ascii="宋体" w:hAnsi="宋体" w:eastAsia="宋体" w:cs="宋体"/>
                <w:color w:val="000000"/>
                <w:kern w:val="0"/>
                <w:sz w:val="21"/>
                <w:szCs w:val="21"/>
              </w:rPr>
            </w:pPr>
          </w:p>
        </w:tc>
      </w:tr>
    </w:tbl>
    <w:p>
      <w:pPr>
        <w:rPr>
          <w:rFonts w:asciiTheme="minorEastAsia" w:hAnsiTheme="minorEastAsia"/>
        </w:rPr>
      </w:pPr>
      <w:r>
        <w:rPr>
          <w:rFonts w:hint="eastAsia" w:asciiTheme="minorEastAsia" w:hAnsiTheme="minorEastAsia"/>
        </w:rPr>
        <w:t>如遇到安装墙壁是瓷砖，可以用玻璃胶固定。</w:t>
      </w: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hint="eastAsia" w:ascii="黑体" w:hAnsi="黑体" w:eastAsia="黑体"/>
          <w:b/>
          <w:bCs/>
          <w:color w:val="000000" w:themeColor="text1"/>
        </w:rPr>
      </w:pPr>
    </w:p>
    <w:p>
      <w:pPr>
        <w:pStyle w:val="3"/>
        <w:snapToGrid w:val="0"/>
        <w:spacing w:beforeLines="0" w:afterLines="0" w:line="240" w:lineRule="auto"/>
        <w:jc w:val="left"/>
        <w:rPr>
          <w:rFonts w:ascii="黑体" w:hAnsi="黑体" w:eastAsia="黑体"/>
          <w:b/>
          <w:bCs/>
          <w:color w:val="000000" w:themeColor="text1"/>
        </w:rPr>
      </w:pPr>
      <w:r>
        <w:rPr>
          <w:rFonts w:hint="eastAsia" w:ascii="黑体" w:hAnsi="黑体" w:eastAsia="黑体"/>
          <w:b/>
          <w:bCs/>
          <w:color w:val="000000" w:themeColor="text1"/>
        </w:rPr>
        <w:t>附件</w:t>
      </w:r>
      <w:r>
        <w:rPr>
          <w:rFonts w:hint="eastAsia" w:ascii="黑体" w:hAnsi="黑体" w:eastAsia="黑体"/>
          <w:b/>
          <w:bCs/>
          <w:color w:val="000000" w:themeColor="text1"/>
          <w:lang w:eastAsia="zh-CN"/>
        </w:rPr>
        <w:t>二</w:t>
      </w:r>
      <w:r>
        <w:rPr>
          <w:rFonts w:hint="eastAsia" w:ascii="黑体" w:hAnsi="黑体" w:eastAsia="黑体"/>
          <w:b/>
          <w:bCs/>
          <w:color w:val="000000" w:themeColor="text1"/>
        </w:rPr>
        <w:t>：</w:t>
      </w:r>
      <w:r>
        <w:rPr>
          <w:rFonts w:ascii="黑体" w:hAnsi="黑体" w:eastAsia="黑体"/>
          <w:b/>
          <w:bCs/>
          <w:color w:val="000000" w:themeColor="text1"/>
        </w:rPr>
        <w:t>投标报价</w:t>
      </w:r>
      <w:r>
        <w:rPr>
          <w:rFonts w:hint="eastAsia" w:ascii="黑体" w:hAnsi="黑体" w:eastAsia="黑体"/>
          <w:b/>
          <w:bCs/>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lang w:eastAsia="zh-CN"/>
        </w:rPr>
        <w:t>湖州师范学院保卫处消防疏散示意图制作与安装项目</w:t>
      </w:r>
    </w:p>
    <w:p>
      <w:pPr>
        <w:jc w:val="left"/>
        <w:rPr>
          <w:rFonts w:hint="eastAsia" w:ascii="仿宋" w:hAnsi="仿宋" w:eastAsia="仿宋"/>
          <w:b/>
          <w:color w:val="000000" w:themeColor="text1"/>
          <w:sz w:val="24"/>
          <w:szCs w:val="24"/>
          <w:lang w:eastAsia="zh-CN"/>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lang w:eastAsia="zh-CN"/>
        </w:rPr>
        <w:t>XZ2020-158</w:t>
      </w:r>
    </w:p>
    <w:p>
      <w:pPr>
        <w:jc w:val="left"/>
        <w:rPr>
          <w:rFonts w:hint="eastAsia" w:ascii="仿宋" w:hAnsi="仿宋" w:eastAsia="仿宋"/>
          <w:b/>
          <w:color w:val="000000" w:themeColor="text1"/>
          <w:sz w:val="24"/>
          <w:szCs w:val="24"/>
          <w:lang w:eastAsia="zh-CN"/>
        </w:rPr>
      </w:pPr>
    </w:p>
    <w:tbl>
      <w:tblPr>
        <w:tblStyle w:val="9"/>
        <w:tblW w:w="9110" w:type="dxa"/>
        <w:jc w:val="center"/>
        <w:shd w:val="clear" w:color="auto" w:fill="auto"/>
        <w:tblLayout w:type="fixed"/>
        <w:tblCellMar>
          <w:top w:w="0" w:type="dxa"/>
          <w:left w:w="0" w:type="dxa"/>
          <w:bottom w:w="0" w:type="dxa"/>
          <w:right w:w="0" w:type="dxa"/>
        </w:tblCellMar>
      </w:tblPr>
      <w:tblGrid>
        <w:gridCol w:w="696"/>
        <w:gridCol w:w="2067"/>
        <w:gridCol w:w="1841"/>
        <w:gridCol w:w="959"/>
        <w:gridCol w:w="1384"/>
        <w:gridCol w:w="966"/>
        <w:gridCol w:w="1197"/>
      </w:tblGrid>
      <w:tr>
        <w:tblPrEx>
          <w:shd w:val="clear" w:color="auto" w:fill="auto"/>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尺寸</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数量</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材质</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工艺</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单价</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小计</w:t>
            </w: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30*40cm，5mm厚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440</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透明亚克力</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UV背喷，加镀层</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40*60cm，8mm厚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423</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透明亚克力</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UV背喷，加镀层</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合计</w:t>
            </w:r>
          </w:p>
        </w:tc>
        <w:tc>
          <w:tcPr>
            <w:tcW w:w="63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bidi="ar-SA"/>
              </w:rPr>
            </w:pPr>
            <w:r>
              <w:rPr>
                <w:rFonts w:hint="eastAsia" w:ascii="仿宋" w:hAnsi="仿宋" w:eastAsia="仿宋" w:cs="仿宋"/>
                <w:b w:val="0"/>
                <w:bCs w:val="0"/>
                <w:i w:val="0"/>
                <w:color w:val="000000"/>
                <w:kern w:val="0"/>
                <w:sz w:val="21"/>
                <w:szCs w:val="21"/>
                <w:u w:val="none"/>
                <w:lang w:val="en-US" w:eastAsia="zh-CN" w:bidi="ar"/>
              </w:rPr>
              <w:t>大写：</w:t>
            </w:r>
            <w:r>
              <w:rPr>
                <w:rFonts w:hint="eastAsia" w:ascii="仿宋" w:hAnsi="仿宋" w:eastAsia="仿宋" w:cs="仿宋"/>
                <w:b w:val="0"/>
                <w:bCs w:val="0"/>
                <w:i w:val="0"/>
                <w:color w:val="000000"/>
                <w:kern w:val="0"/>
                <w:sz w:val="21"/>
                <w:szCs w:val="21"/>
                <w:u w:val="single"/>
                <w:lang w:val="en-US" w:eastAsia="zh-CN" w:bidi="ar"/>
              </w:rPr>
              <w:t xml:space="preserve">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元整（¥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w:t>
            </w:r>
          </w:p>
        </w:tc>
      </w:tr>
    </w:tbl>
    <w:p>
      <w:pPr>
        <w:rPr>
          <w:rFonts w:hint="eastAsia" w:asciiTheme="minorEastAsia" w:hAnsiTheme="minorEastAsia" w:eastAsiaTheme="minorEastAsia"/>
          <w:b/>
          <w:bCs/>
          <w:color w:val="FF0000"/>
          <w:lang w:eastAsia="zh-CN"/>
        </w:rPr>
      </w:pPr>
      <w:r>
        <w:rPr>
          <w:rFonts w:hint="eastAsia" w:asciiTheme="minorEastAsia" w:hAnsiTheme="minorEastAsia"/>
          <w:b/>
          <w:bCs/>
          <w:color w:val="FF0000"/>
          <w:lang w:eastAsia="zh-CN"/>
        </w:rPr>
        <w:t>实际数量可能略有出入</w:t>
      </w:r>
      <w:r>
        <w:rPr>
          <w:rFonts w:hint="eastAsia" w:asciiTheme="minorEastAsia" w:hAnsiTheme="minorEastAsia"/>
          <w:b/>
          <w:bCs/>
          <w:color w:val="FF0000"/>
        </w:rPr>
        <w:t>，</w:t>
      </w:r>
      <w:r>
        <w:rPr>
          <w:rFonts w:hint="eastAsia" w:asciiTheme="minorEastAsia" w:hAnsiTheme="minorEastAsia"/>
          <w:b/>
          <w:bCs/>
          <w:color w:val="FF0000"/>
          <w:lang w:eastAsia="zh-CN"/>
        </w:rPr>
        <w:t>结算时按成交单价，据实结算</w:t>
      </w:r>
    </w:p>
    <w:p>
      <w:pPr>
        <w:jc w:val="left"/>
        <w:rPr>
          <w:rFonts w:hint="eastAsia" w:ascii="仿宋" w:hAnsi="仿宋" w:eastAsia="仿宋"/>
          <w:b/>
          <w:color w:val="000000" w:themeColor="text1"/>
          <w:sz w:val="24"/>
          <w:szCs w:val="24"/>
          <w:lang w:eastAsia="zh-CN"/>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hint="eastAsia"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80184"/>
    <w:multiLevelType w:val="singleLevel"/>
    <w:tmpl w:val="BB080184"/>
    <w:lvl w:ilvl="0" w:tentative="0">
      <w:start w:val="1"/>
      <w:numFmt w:val="decimal"/>
      <w:lvlText w:val="%1."/>
      <w:lvlJc w:val="left"/>
      <w:pPr>
        <w:tabs>
          <w:tab w:val="left" w:pos="312"/>
        </w:tabs>
      </w:pPr>
    </w:lvl>
  </w:abstractNum>
  <w:abstractNum w:abstractNumId="1">
    <w:nsid w:val="0F7232EB"/>
    <w:multiLevelType w:val="multilevel"/>
    <w:tmpl w:val="0F7232EB"/>
    <w:lvl w:ilvl="0" w:tentative="0">
      <w:start w:val="1"/>
      <w:numFmt w:val="japaneseCounting"/>
      <w:lvlText w:val="%1、"/>
      <w:lvlJc w:val="left"/>
      <w:pPr>
        <w:ind w:left="480" w:hanging="480"/>
      </w:pPr>
      <w:rPr>
        <w:rFonts w:cs="Arial"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4D1090"/>
    <w:multiLevelType w:val="multilevel"/>
    <w:tmpl w:val="404D1090"/>
    <w:lvl w:ilvl="0" w:tentative="0">
      <w:start w:val="1"/>
      <w:numFmt w:val="decimal"/>
      <w:lvlText w:val="%1."/>
      <w:lvlJc w:val="left"/>
      <w:pPr>
        <w:ind w:left="840" w:hanging="360"/>
      </w:pPr>
      <w:rPr>
        <w:rFonts w:hint="default"/>
      </w:rPr>
    </w:lvl>
    <w:lvl w:ilvl="1" w:tentative="0">
      <w:start w:val="1"/>
      <w:numFmt w:val="decimal"/>
      <w:isLgl/>
      <w:lvlText w:val="%1.%2"/>
      <w:lvlJc w:val="left"/>
      <w:pPr>
        <w:ind w:left="960" w:hanging="48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560" w:hanging="108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2280" w:hanging="1800"/>
      </w:pPr>
      <w:rPr>
        <w:rFonts w:hint="default"/>
      </w:rPr>
    </w:lvl>
    <w:lvl w:ilvl="7" w:tentative="0">
      <w:start w:val="1"/>
      <w:numFmt w:val="decimal"/>
      <w:isLgl/>
      <w:lvlText w:val="%1.%2.%3.%4.%5.%6.%7.%8"/>
      <w:lvlJc w:val="left"/>
      <w:pPr>
        <w:ind w:left="2280" w:hanging="1800"/>
      </w:pPr>
      <w:rPr>
        <w:rFonts w:hint="default"/>
      </w:rPr>
    </w:lvl>
    <w:lvl w:ilvl="8" w:tentative="0">
      <w:start w:val="1"/>
      <w:numFmt w:val="decimal"/>
      <w:isLgl/>
      <w:lvlText w:val="%1.%2.%3.%4.%5.%6.%7.%8.%9"/>
      <w:lvlJc w:val="left"/>
      <w:pPr>
        <w:ind w:left="2640" w:hanging="2160"/>
      </w:pPr>
      <w:rPr>
        <w:rFonts w:hint="default"/>
      </w:rPr>
    </w:lvl>
  </w:abstractNum>
  <w:abstractNum w:abstractNumId="3">
    <w:nsid w:val="6A202991"/>
    <w:multiLevelType w:val="multilevel"/>
    <w:tmpl w:val="6A202991"/>
    <w:lvl w:ilvl="0" w:tentative="0">
      <w:start w:val="1"/>
      <w:numFmt w:val="decimal"/>
      <w:lvlText w:val="%1."/>
      <w:lvlJc w:val="left"/>
      <w:pPr>
        <w:ind w:left="840" w:hanging="360"/>
      </w:pPr>
      <w:rPr>
        <w:rFonts w:hint="default"/>
      </w:rPr>
    </w:lvl>
    <w:lvl w:ilvl="1" w:tentative="0">
      <w:start w:val="1"/>
      <w:numFmt w:val="decimal"/>
      <w:isLgl/>
      <w:lvlText w:val="%1.%2"/>
      <w:lvlJc w:val="left"/>
      <w:pPr>
        <w:ind w:left="960" w:hanging="48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560" w:hanging="108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920" w:hanging="1440"/>
      </w:pPr>
      <w:rPr>
        <w:rFonts w:hint="default"/>
      </w:rPr>
    </w:lvl>
    <w:lvl w:ilvl="6" w:tentative="0">
      <w:start w:val="1"/>
      <w:numFmt w:val="decimal"/>
      <w:isLgl/>
      <w:lvlText w:val="%1.%2.%3.%4.%5.%6.%7"/>
      <w:lvlJc w:val="left"/>
      <w:pPr>
        <w:ind w:left="2280" w:hanging="1800"/>
      </w:pPr>
      <w:rPr>
        <w:rFonts w:hint="default"/>
      </w:rPr>
    </w:lvl>
    <w:lvl w:ilvl="7" w:tentative="0">
      <w:start w:val="1"/>
      <w:numFmt w:val="decimal"/>
      <w:isLgl/>
      <w:lvlText w:val="%1.%2.%3.%4.%5.%6.%7.%8"/>
      <w:lvlJc w:val="left"/>
      <w:pPr>
        <w:ind w:left="2280" w:hanging="1800"/>
      </w:pPr>
      <w:rPr>
        <w:rFonts w:hint="default"/>
      </w:rPr>
    </w:lvl>
    <w:lvl w:ilvl="8" w:tentative="0">
      <w:start w:val="1"/>
      <w:numFmt w:val="decimal"/>
      <w:isLgl/>
      <w:lvlText w:val="%1.%2.%3.%4.%5.%6.%7.%8.%9"/>
      <w:lvlJc w:val="left"/>
      <w:pPr>
        <w:ind w:left="264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29F0788"/>
    <w:rsid w:val="0DF12A0C"/>
    <w:rsid w:val="11D75D61"/>
    <w:rsid w:val="18462C05"/>
    <w:rsid w:val="1AA22356"/>
    <w:rsid w:val="1E817C6E"/>
    <w:rsid w:val="261E5BD6"/>
    <w:rsid w:val="26E85221"/>
    <w:rsid w:val="2E350BF7"/>
    <w:rsid w:val="321F73AA"/>
    <w:rsid w:val="32274E71"/>
    <w:rsid w:val="38806F68"/>
    <w:rsid w:val="3B5759CC"/>
    <w:rsid w:val="406F0267"/>
    <w:rsid w:val="41AC0A71"/>
    <w:rsid w:val="45147ED2"/>
    <w:rsid w:val="46FA36AF"/>
    <w:rsid w:val="470D29FD"/>
    <w:rsid w:val="491A430A"/>
    <w:rsid w:val="4AAA2B2A"/>
    <w:rsid w:val="4CCE6F95"/>
    <w:rsid w:val="573A2C8C"/>
    <w:rsid w:val="5A4D251F"/>
    <w:rsid w:val="5A52694C"/>
    <w:rsid w:val="5C8137F0"/>
    <w:rsid w:val="65853766"/>
    <w:rsid w:val="6628674B"/>
    <w:rsid w:val="6678268C"/>
    <w:rsid w:val="693B0340"/>
    <w:rsid w:val="6A75632C"/>
    <w:rsid w:val="6D7229C7"/>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0"/>
    <w:pPr>
      <w:spacing w:after="120"/>
    </w:pPr>
    <w:rPr>
      <w:rFonts w:ascii="宋体" w:hAnsi="宋体"/>
      <w:sz w:val="28"/>
      <w:szCs w:val="24"/>
    </w:rPr>
  </w:style>
  <w:style w:type="paragraph" w:styleId="3">
    <w:name w:val="Plain Text"/>
    <w:basedOn w:val="1"/>
    <w:link w:val="19"/>
    <w:qFormat/>
    <w:uiPriority w:val="0"/>
    <w:pPr>
      <w:spacing w:beforeLines="50" w:afterLines="50" w:line="400" w:lineRule="atLeast"/>
    </w:pPr>
    <w:rPr>
      <w:rFonts w:ascii="宋体" w:hAnsi="Courier New"/>
      <w:sz w:val="24"/>
      <w:szCs w:val="24"/>
    </w:r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12"/>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缩进 2 Char"/>
    <w:basedOn w:val="11"/>
    <w:link w:val="5"/>
    <w:qFormat/>
    <w:uiPriority w:val="0"/>
    <w:rPr>
      <w:rFonts w:ascii="Times New Roman" w:hAnsi="Times New Roman" w:eastAsia="宋体" w:cs="Times New Roman"/>
      <w:sz w:val="28"/>
      <w:szCs w:val="24"/>
    </w:rPr>
  </w:style>
  <w:style w:type="paragraph" w:styleId="13">
    <w:name w:val="List Paragraph"/>
    <w:basedOn w:val="1"/>
    <w:qFormat/>
    <w:uiPriority w:val="1"/>
    <w:pPr>
      <w:ind w:firstLine="420" w:firstLineChars="200"/>
    </w:pPr>
  </w:style>
  <w:style w:type="paragraph" w:customStyle="1" w:styleId="14">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日期 Char"/>
    <w:basedOn w:val="11"/>
    <w:link w:val="4"/>
    <w:semiHidden/>
    <w:qFormat/>
    <w:uiPriority w:val="99"/>
  </w:style>
  <w:style w:type="character" w:customStyle="1" w:styleId="18">
    <w:name w:val="纯文本 Char"/>
    <w:basedOn w:val="11"/>
    <w:link w:val="3"/>
    <w:qFormat/>
    <w:uiPriority w:val="0"/>
    <w:rPr>
      <w:rFonts w:ascii="宋体" w:hAnsi="Courier New"/>
      <w:sz w:val="24"/>
      <w:szCs w:val="24"/>
    </w:rPr>
  </w:style>
  <w:style w:type="character" w:customStyle="1" w:styleId="19">
    <w:name w:val="纯文本 Char1"/>
    <w:basedOn w:val="11"/>
    <w:link w:val="3"/>
    <w:semiHidden/>
    <w:qFormat/>
    <w:uiPriority w:val="99"/>
    <w:rPr>
      <w:rFonts w:ascii="宋体" w:hAnsi="Courier New" w:eastAsia="宋体" w:cs="Courier New"/>
      <w:szCs w:val="21"/>
    </w:rPr>
  </w:style>
  <w:style w:type="paragraph" w:customStyle="1" w:styleId="20">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1">
    <w:name w:val="正文文本 Char"/>
    <w:link w:val="2"/>
    <w:qFormat/>
    <w:uiPriority w:val="0"/>
    <w:rPr>
      <w:rFonts w:ascii="宋体" w:hAnsi="宋体"/>
      <w:sz w:val="28"/>
      <w:szCs w:val="24"/>
    </w:rPr>
  </w:style>
  <w:style w:type="character" w:customStyle="1" w:styleId="22">
    <w:name w:val="正文文本 Char1"/>
    <w:basedOn w:val="11"/>
    <w:link w:val="2"/>
    <w:semiHidden/>
    <w:qFormat/>
    <w:uiPriority w:val="99"/>
  </w:style>
  <w:style w:type="paragraph" w:customStyle="1" w:styleId="23">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4">
    <w:name w:val="批注框文本 Char"/>
    <w:basedOn w:val="11"/>
    <w:link w:val="6"/>
    <w:semiHidden/>
    <w:qFormat/>
    <w:uiPriority w:val="99"/>
    <w:rPr>
      <w:kern w:val="2"/>
      <w:sz w:val="18"/>
      <w:szCs w:val="18"/>
    </w:rPr>
  </w:style>
  <w:style w:type="character" w:customStyle="1" w:styleId="25">
    <w:name w:val="font61"/>
    <w:basedOn w:val="11"/>
    <w:qFormat/>
    <w:uiPriority w:val="0"/>
    <w:rPr>
      <w:rFonts w:hint="eastAsia" w:ascii="宋体" w:hAnsi="宋体" w:eastAsia="宋体" w:cs="宋体"/>
      <w:color w:val="000000"/>
      <w:sz w:val="22"/>
      <w:szCs w:val="22"/>
      <w:u w:val="none"/>
    </w:rPr>
  </w:style>
  <w:style w:type="character" w:customStyle="1" w:styleId="26">
    <w:name w:val="font51"/>
    <w:basedOn w:val="11"/>
    <w:qFormat/>
    <w:uiPriority w:val="0"/>
    <w:rPr>
      <w:rFonts w:ascii="华文细黑" w:hAnsi="华文细黑" w:eastAsia="华文细黑" w:cs="华文细黑"/>
      <w:color w:val="000000"/>
      <w:sz w:val="22"/>
      <w:szCs w:val="22"/>
      <w:u w:val="none"/>
    </w:rPr>
  </w:style>
  <w:style w:type="character" w:customStyle="1" w:styleId="27">
    <w:name w:val="font31"/>
    <w:basedOn w:val="11"/>
    <w:qFormat/>
    <w:uiPriority w:val="0"/>
    <w:rPr>
      <w:rFonts w:hint="eastAsia" w:ascii="微软雅黑" w:hAnsi="微软雅黑" w:eastAsia="微软雅黑" w:cs="微软雅黑"/>
      <w:b/>
      <w:color w:val="000000"/>
      <w:sz w:val="20"/>
      <w:szCs w:val="20"/>
      <w:u w:val="none"/>
    </w:rPr>
  </w:style>
  <w:style w:type="character" w:customStyle="1" w:styleId="28">
    <w:name w:val="font21"/>
    <w:basedOn w:val="11"/>
    <w:qFormat/>
    <w:uiPriority w:val="0"/>
    <w:rPr>
      <w:rFonts w:hint="eastAsia" w:ascii="宋体" w:hAnsi="宋体" w:eastAsia="宋体" w:cs="宋体"/>
      <w:b/>
      <w:color w:val="000000"/>
      <w:sz w:val="20"/>
      <w:szCs w:val="20"/>
      <w:u w:val="none"/>
    </w:rPr>
  </w:style>
  <w:style w:type="character" w:customStyle="1" w:styleId="29">
    <w:name w:val="font01"/>
    <w:basedOn w:val="11"/>
    <w:qFormat/>
    <w:uiPriority w:val="0"/>
    <w:rPr>
      <w:rFonts w:hint="eastAsia" w:ascii="宋体" w:hAnsi="宋体" w:eastAsia="宋体" w:cs="宋体"/>
      <w:color w:val="000000"/>
      <w:sz w:val="20"/>
      <w:szCs w:val="20"/>
      <w:u w:val="none"/>
    </w:rPr>
  </w:style>
  <w:style w:type="character" w:customStyle="1" w:styleId="30">
    <w:name w:val="font71"/>
    <w:basedOn w:val="11"/>
    <w:qFormat/>
    <w:uiPriority w:val="0"/>
    <w:rPr>
      <w:rFonts w:hint="default" w:ascii="等线" w:hAnsi="等线" w:eastAsia="等线" w:cs="等线"/>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0</TotalTime>
  <ScaleCrop>false</ScaleCrop>
  <LinksUpToDate>false</LinksUpToDate>
  <CharactersWithSpaces>4911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2020-12-07T01:11:34Z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