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cs="宋体" w:asciiTheme="majorEastAsia" w:hAnsiTheme="majorEastAsia" w:eastAsiaTheme="majorEastAsia"/>
          <w:b/>
          <w:sz w:val="32"/>
          <w:szCs w:val="32"/>
          <w:lang w:eastAsia="zh-CN"/>
        </w:rPr>
      </w:pPr>
      <w:r>
        <w:rPr>
          <w:rFonts w:hint="eastAsia" w:cs="宋体" w:asciiTheme="majorEastAsia" w:hAnsiTheme="majorEastAsia" w:eastAsiaTheme="majorEastAsia"/>
          <w:b/>
          <w:sz w:val="32"/>
          <w:szCs w:val="32"/>
          <w:lang w:eastAsia="zh-CN"/>
        </w:rPr>
        <w:t>湖州师范学院监控系统接入省教育厅校园安全管理平台网关设备采购项目单一来源</w:t>
      </w:r>
      <w:r>
        <w:rPr>
          <w:rFonts w:hint="eastAsia" w:asciiTheme="majorEastAsia" w:hAnsiTheme="majorEastAsia" w:eastAsiaTheme="majorEastAsia"/>
          <w:b/>
          <w:sz w:val="32"/>
          <w:szCs w:val="32"/>
          <w:lang w:eastAsia="zh-CN"/>
        </w:rPr>
        <w:t>谈判文件</w:t>
      </w:r>
    </w:p>
    <w:p>
      <w:pPr>
        <w:spacing w:after="0" w:line="240" w:lineRule="auto"/>
        <w:ind w:firstLine="472" w:firstLineChars="196"/>
        <w:rPr>
          <w:rFonts w:ascii="仿宋" w:hAnsi="仿宋" w:eastAsia="仿宋"/>
          <w:b/>
          <w:sz w:val="24"/>
          <w:lang w:eastAsia="zh-CN"/>
        </w:rPr>
      </w:pPr>
      <w:r>
        <w:rPr>
          <w:rFonts w:hint="eastAsia" w:ascii="仿宋" w:hAnsi="仿宋" w:eastAsia="仿宋"/>
          <w:b/>
          <w:sz w:val="24"/>
          <w:lang w:eastAsia="zh-CN"/>
        </w:rPr>
        <w:t>一、采购项目名称及采购清单及要求：</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1.采购项</w:t>
      </w:r>
      <w:r>
        <w:rPr>
          <w:rFonts w:hint="eastAsia" w:ascii="仿宋" w:hAnsi="仿宋" w:eastAsia="仿宋"/>
          <w:sz w:val="24"/>
          <w:szCs w:val="24"/>
          <w:lang w:eastAsia="zh-CN"/>
        </w:rPr>
        <w:t>目名称：湖州师范学院监控系统接入省教育厅校园安全管理平台网关</w:t>
      </w:r>
      <w:bookmarkStart w:id="0" w:name="_GoBack"/>
      <w:bookmarkEnd w:id="0"/>
      <w:r>
        <w:rPr>
          <w:rFonts w:hint="eastAsia" w:ascii="仿宋" w:hAnsi="仿宋" w:eastAsia="仿宋"/>
          <w:sz w:val="24"/>
          <w:szCs w:val="24"/>
          <w:lang w:eastAsia="zh-CN"/>
        </w:rPr>
        <w:t>设备采购项目</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2.采购项目编号：XZ2022-126</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3.采购组织类型：分散采购自行组织</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4.采购方式：校内单一来源谈判</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5.</w:t>
      </w:r>
      <w:r>
        <w:rPr>
          <w:rFonts w:hint="eastAsia" w:ascii="仿宋" w:hAnsi="仿宋" w:eastAsia="仿宋"/>
          <w:b/>
          <w:sz w:val="24"/>
          <w:lang w:eastAsia="zh-CN"/>
        </w:rPr>
        <w:t>采购清单</w:t>
      </w:r>
      <w:r>
        <w:rPr>
          <w:rFonts w:hint="eastAsia" w:ascii="仿宋" w:hAnsi="仿宋" w:eastAsia="仿宋"/>
          <w:sz w:val="24"/>
          <w:lang w:eastAsia="zh-CN"/>
        </w:rPr>
        <w:t>(包括名称、技术要求、数量、采购预算如下)</w:t>
      </w:r>
    </w:p>
    <w:tbl>
      <w:tblPr>
        <w:tblStyle w:val="18"/>
        <w:tblW w:w="872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567" w:type="dxa"/>
          <w:left w:w="105" w:type="dxa"/>
          <w:bottom w:w="567" w:type="dxa"/>
          <w:right w:w="105" w:type="dxa"/>
        </w:tblCellMar>
      </w:tblPr>
      <w:tblGrid>
        <w:gridCol w:w="790"/>
        <w:gridCol w:w="2382"/>
        <w:gridCol w:w="3004"/>
        <w:gridCol w:w="1276"/>
        <w:gridCol w:w="12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7" w:type="dxa"/>
            <w:left w:w="105" w:type="dxa"/>
            <w:bottom w:w="567" w:type="dxa"/>
            <w:right w:w="105" w:type="dxa"/>
          </w:tblCellMar>
        </w:tblPrEx>
        <w:trPr>
          <w:trHeight w:val="510" w:hRule="atLeast"/>
          <w:jc w:val="center"/>
        </w:trPr>
        <w:tc>
          <w:tcPr>
            <w:tcW w:w="79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Style w:val="21"/>
                <w:rFonts w:hint="eastAsia" w:ascii="仿宋" w:hAnsi="仿宋" w:eastAsia="仿宋" w:cs="仿宋"/>
              </w:rPr>
              <w:t>序号</w:t>
            </w:r>
          </w:p>
        </w:tc>
        <w:tc>
          <w:tcPr>
            <w:tcW w:w="2382"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Style w:val="21"/>
                <w:rFonts w:hint="eastAsia" w:ascii="仿宋" w:hAnsi="仿宋" w:eastAsia="仿宋" w:cs="仿宋"/>
              </w:rPr>
              <w:t>名称</w:t>
            </w:r>
          </w:p>
        </w:tc>
        <w:tc>
          <w:tcPr>
            <w:tcW w:w="3004"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Fonts w:hint="eastAsia" w:ascii="仿宋" w:hAnsi="仿宋" w:eastAsia="仿宋" w:cstheme="minorBidi"/>
                <w:b/>
                <w:szCs w:val="22"/>
                <w:lang w:eastAsia="zh-CN" w:bidi="en-US"/>
              </w:rPr>
              <w:t>技术</w:t>
            </w:r>
            <w:r>
              <w:rPr>
                <w:rFonts w:hint="eastAsia" w:ascii="仿宋" w:hAnsi="仿宋" w:eastAsia="仿宋" w:cstheme="minorBidi"/>
                <w:b/>
                <w:szCs w:val="22"/>
                <w:lang w:bidi="en-US"/>
              </w:rPr>
              <w:t>要求</w:t>
            </w:r>
          </w:p>
        </w:tc>
        <w:tc>
          <w:tcPr>
            <w:tcW w:w="1276"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Style w:val="21"/>
                <w:rFonts w:hint="eastAsia" w:ascii="仿宋" w:hAnsi="仿宋" w:eastAsia="仿宋" w:cs="仿宋"/>
              </w:rPr>
              <w:t>数量</w:t>
            </w:r>
          </w:p>
        </w:tc>
        <w:tc>
          <w:tcPr>
            <w:tcW w:w="1276"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Style w:val="21"/>
                <w:rFonts w:hint="eastAsia" w:ascii="仿宋" w:hAnsi="仿宋" w:eastAsia="仿宋" w:cs="仿宋"/>
              </w:rPr>
              <w:t>预算总价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7" w:type="dxa"/>
            <w:left w:w="105" w:type="dxa"/>
            <w:bottom w:w="567" w:type="dxa"/>
            <w:right w:w="105" w:type="dxa"/>
          </w:tblCellMar>
        </w:tblPrEx>
        <w:trPr>
          <w:trHeight w:val="1518" w:hRule="atLeast"/>
          <w:jc w:val="center"/>
        </w:trPr>
        <w:tc>
          <w:tcPr>
            <w:tcW w:w="79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Fonts w:hint="eastAsia" w:ascii="仿宋" w:hAnsi="仿宋" w:eastAsia="仿宋" w:cs="仿宋"/>
              </w:rPr>
              <w:t>1</w:t>
            </w:r>
          </w:p>
        </w:tc>
        <w:tc>
          <w:tcPr>
            <w:tcW w:w="2382" w:type="dxa"/>
            <w:vMerge w:val="restart"/>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Fonts w:hint="eastAsia" w:ascii="仿宋" w:hAnsi="仿宋" w:eastAsia="仿宋"/>
                <w:sz w:val="24"/>
                <w:szCs w:val="24"/>
                <w:lang w:eastAsia="zh-CN"/>
              </w:rPr>
              <w:t>湖州师范学院监控系统接入省教育厅校园安全管理平台网关设备采购项目</w:t>
            </w:r>
          </w:p>
        </w:tc>
        <w:tc>
          <w:tcPr>
            <w:tcW w:w="3004"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default" w:ascii="仿宋" w:hAnsi="仿宋" w:eastAsia="仿宋" w:cs="仿宋"/>
                <w:shd w:val="clear" w:color="auto" w:fill="FFFFFF"/>
                <w:lang w:val="en-US" w:eastAsia="zh-CN"/>
              </w:rPr>
            </w:pPr>
            <w:r>
              <w:rPr>
                <w:rFonts w:hint="eastAsia" w:ascii="仿宋" w:hAnsi="仿宋" w:eastAsia="仿宋"/>
                <w:lang w:eastAsia="zh-CN"/>
              </w:rPr>
              <w:t>视频接入网关，型号：</w:t>
            </w:r>
            <w:r>
              <w:rPr>
                <w:rFonts w:hint="eastAsia" w:ascii="仿宋" w:hAnsi="仿宋" w:eastAsia="仿宋"/>
                <w:lang w:val="en-US" w:eastAsia="zh-CN"/>
              </w:rPr>
              <w:t>VGA-TJ-1900T；授权接入监控摄像机路数：300路；质保期：1年。</w:t>
            </w:r>
          </w:p>
        </w:tc>
        <w:tc>
          <w:tcPr>
            <w:tcW w:w="1276"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hd w:val="clear" w:color="auto" w:fill="FFFFFF"/>
                <w:lang w:eastAsia="zh-CN"/>
              </w:rPr>
            </w:pPr>
            <w:r>
              <w:rPr>
                <w:rFonts w:hint="eastAsia" w:ascii="仿宋" w:hAnsi="仿宋" w:eastAsia="仿宋" w:cs="仿宋"/>
                <w:shd w:val="clear" w:color="auto" w:fill="FFFFFF"/>
              </w:rPr>
              <w:t>1</w:t>
            </w:r>
            <w:r>
              <w:rPr>
                <w:rFonts w:hint="eastAsia" w:ascii="仿宋" w:hAnsi="仿宋" w:eastAsia="仿宋" w:cs="仿宋"/>
                <w:shd w:val="clear" w:color="auto" w:fill="FFFFFF"/>
                <w:lang w:eastAsia="zh-CN"/>
              </w:rPr>
              <w:t>台</w:t>
            </w:r>
          </w:p>
        </w:tc>
        <w:tc>
          <w:tcPr>
            <w:tcW w:w="1276"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ascii="仿宋" w:hAnsi="仿宋" w:eastAsia="仿宋" w:cs="仿宋"/>
                <w:shd w:val="clear" w:color="auto" w:fill="FFFFFF"/>
              </w:rPr>
            </w:pPr>
            <w:r>
              <w:rPr>
                <w:rFonts w:hint="eastAsia" w:ascii="仿宋" w:hAnsi="仿宋" w:eastAsia="仿宋" w:cs="仿宋"/>
                <w:shd w:val="clear" w:color="auto" w:fill="FFFFFF"/>
                <w:lang w:val="en-US" w:eastAsia="zh-CN"/>
              </w:rPr>
              <w:t>60</w:t>
            </w:r>
            <w:r>
              <w:rPr>
                <w:rFonts w:hint="eastAsia" w:ascii="仿宋" w:hAnsi="仿宋" w:eastAsia="仿宋" w:cs="仿宋"/>
                <w:shd w:val="clear" w:color="auto" w:fill="FFFFFF"/>
              </w:rPr>
              <w:t>000元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7" w:type="dxa"/>
            <w:left w:w="105" w:type="dxa"/>
            <w:bottom w:w="567" w:type="dxa"/>
            <w:right w:w="105" w:type="dxa"/>
          </w:tblCellMar>
        </w:tblPrEx>
        <w:trPr>
          <w:trHeight w:val="427" w:hRule="atLeast"/>
          <w:jc w:val="center"/>
        </w:trPr>
        <w:tc>
          <w:tcPr>
            <w:tcW w:w="79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382" w:type="dxa"/>
            <w:vMerge w:val="continue"/>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sz w:val="24"/>
                <w:szCs w:val="24"/>
                <w:lang w:eastAsia="zh-CN"/>
              </w:rPr>
            </w:pPr>
          </w:p>
        </w:tc>
        <w:tc>
          <w:tcPr>
            <w:tcW w:w="3004"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lang w:eastAsia="zh-CN"/>
              </w:rPr>
            </w:pPr>
            <w:r>
              <w:rPr>
                <w:rFonts w:hint="eastAsia" w:ascii="仿宋" w:hAnsi="仿宋" w:eastAsia="仿宋"/>
                <w:lang w:eastAsia="zh-CN"/>
              </w:rPr>
              <w:t>设备调试费用</w:t>
            </w:r>
          </w:p>
        </w:tc>
        <w:tc>
          <w:tcPr>
            <w:tcW w:w="1276"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1项</w:t>
            </w:r>
          </w:p>
        </w:tc>
        <w:tc>
          <w:tcPr>
            <w:tcW w:w="1276"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default"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5000元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7" w:type="dxa"/>
            <w:left w:w="105" w:type="dxa"/>
            <w:bottom w:w="567" w:type="dxa"/>
            <w:right w:w="105" w:type="dxa"/>
          </w:tblCellMar>
        </w:tblPrEx>
        <w:trPr>
          <w:trHeight w:val="652" w:hRule="atLeast"/>
          <w:jc w:val="center"/>
        </w:trPr>
        <w:tc>
          <w:tcPr>
            <w:tcW w:w="79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b/>
                <w:bCs/>
                <w:lang w:val="en-US" w:eastAsia="zh-CN"/>
              </w:rPr>
            </w:pPr>
            <w:r>
              <w:rPr>
                <w:rFonts w:hint="eastAsia" w:ascii="仿宋" w:hAnsi="仿宋" w:eastAsia="仿宋" w:cs="仿宋"/>
                <w:b/>
                <w:bCs/>
                <w:lang w:val="en-US" w:eastAsia="zh-CN"/>
              </w:rPr>
              <w:t>合计</w:t>
            </w:r>
          </w:p>
        </w:tc>
        <w:tc>
          <w:tcPr>
            <w:tcW w:w="7938" w:type="dxa"/>
            <w:gridSpan w:val="4"/>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b/>
                <w:bCs/>
                <w:shd w:val="clear" w:color="auto" w:fill="FFFFFF"/>
                <w:lang w:val="en-US" w:eastAsia="zh-CN"/>
              </w:rPr>
            </w:pPr>
            <w:r>
              <w:rPr>
                <w:rFonts w:hint="eastAsia" w:ascii="仿宋" w:hAnsi="仿宋" w:eastAsia="仿宋" w:cs="仿宋"/>
                <w:b/>
                <w:bCs/>
                <w:shd w:val="clear" w:color="auto" w:fill="FFFFFF"/>
                <w:lang w:val="en-US" w:eastAsia="zh-CN"/>
              </w:rPr>
              <w:t>人民币陆万伍仟元整（¥：65000元）</w:t>
            </w:r>
          </w:p>
        </w:tc>
      </w:tr>
    </w:tbl>
    <w:p>
      <w:pPr>
        <w:spacing w:after="0" w:line="240" w:lineRule="auto"/>
        <w:rPr>
          <w:rFonts w:ascii="仿宋" w:hAnsi="仿宋" w:eastAsia="仿宋"/>
          <w:sz w:val="24"/>
          <w:lang w:eastAsia="zh-CN"/>
        </w:rPr>
      </w:pPr>
    </w:p>
    <w:p>
      <w:pPr>
        <w:spacing w:after="0" w:line="240" w:lineRule="auto"/>
        <w:ind w:firstLine="482" w:firstLineChars="200"/>
        <w:rPr>
          <w:rFonts w:ascii="仿宋" w:hAnsi="仿宋" w:eastAsia="仿宋"/>
          <w:b/>
          <w:sz w:val="24"/>
          <w:lang w:eastAsia="zh-CN"/>
        </w:rPr>
      </w:pPr>
      <w:r>
        <w:rPr>
          <w:rFonts w:hint="eastAsia" w:ascii="仿宋" w:hAnsi="仿宋" w:eastAsia="仿宋"/>
          <w:b/>
          <w:sz w:val="24"/>
          <w:lang w:eastAsia="zh-CN"/>
        </w:rPr>
        <w:t>二、谈判供应商：杭州卓美数据科技</w:t>
      </w:r>
      <w:r>
        <w:rPr>
          <w:rFonts w:hint="eastAsia" w:ascii="仿宋" w:hAnsi="仿宋" w:eastAsia="仿宋"/>
          <w:b/>
          <w:sz w:val="24"/>
        </w:rPr>
        <w:t>有限公司</w:t>
      </w:r>
      <w:r>
        <w:rPr>
          <w:rFonts w:hint="eastAsia" w:ascii="仿宋" w:hAnsi="仿宋" w:eastAsia="仿宋"/>
          <w:b/>
          <w:sz w:val="24"/>
          <w:lang w:eastAsia="zh-CN"/>
        </w:rPr>
        <w:t>。</w:t>
      </w:r>
    </w:p>
    <w:p>
      <w:pPr>
        <w:spacing w:after="0" w:line="240" w:lineRule="auto"/>
        <w:ind w:firstLine="482" w:firstLineChars="200"/>
        <w:rPr>
          <w:rFonts w:ascii="仿宋" w:hAnsi="仿宋" w:eastAsia="仿宋"/>
          <w:b/>
          <w:sz w:val="24"/>
          <w:lang w:eastAsia="zh-CN"/>
        </w:rPr>
      </w:pPr>
      <w:r>
        <w:rPr>
          <w:rFonts w:hint="eastAsia" w:ascii="仿宋" w:hAnsi="仿宋" w:eastAsia="仿宋"/>
          <w:b/>
          <w:sz w:val="24"/>
          <w:lang w:eastAsia="zh-CN"/>
        </w:rPr>
        <w:t>三、投标文件要求</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投标人的投标文件中应包含以下内容（投标文件密封，一式两份，一正一副，胶装成册。所有证件均须真实、有效，原件、复印件均须加盖公章，缺少以下任意一项内容即作无效标处理）：</w:t>
      </w:r>
    </w:p>
    <w:p>
      <w:pPr>
        <w:numPr>
          <w:ilvl w:val="0"/>
          <w:numId w:val="1"/>
        </w:num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投标报价清单(含货物费、调试费、服务费、税金等全部费用。项目总价高于采购预算者视为无效报价。报价以人民币计，并以大写为准。）</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2.营业执照副本复印件；</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3.</w:t>
      </w:r>
      <w:r>
        <w:rPr>
          <w:rFonts w:hint="eastAsia" w:ascii="仿宋" w:hAnsi="仿宋" w:eastAsia="仿宋" w:cs="仿宋_GB2312"/>
          <w:sz w:val="24"/>
          <w:lang w:eastAsia="zh-CN"/>
        </w:rPr>
        <w:t>开户银行、户名、账号（加盖公章）</w:t>
      </w:r>
      <w:r>
        <w:rPr>
          <w:rFonts w:hint="eastAsia" w:ascii="仿宋" w:hAnsi="仿宋" w:eastAsia="仿宋"/>
          <w:sz w:val="24"/>
          <w:lang w:eastAsia="zh-CN"/>
        </w:rPr>
        <w:t>；</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4.投标代表身份证复印件；如非法定代表人投标，另提供法定代表人授权委托书原件、法定代表人身份证复印件；</w:t>
      </w:r>
      <w:r>
        <w:rPr>
          <w:rFonts w:hint="eastAsia" w:ascii="仿宋" w:hAnsi="仿宋" w:eastAsia="仿宋" w:cs="仿宋_GB2312"/>
          <w:sz w:val="24"/>
          <w:lang w:eastAsia="zh-CN"/>
        </w:rPr>
        <w:t>投标代表需提供在本单位近三个月缴纳社保的凭证;</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5.投标产品质量及售后服务承诺书；</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6.</w:t>
      </w:r>
      <w:r>
        <w:rPr>
          <w:rFonts w:hint="eastAsia" w:ascii="仿宋" w:hAnsi="仿宋" w:eastAsia="仿宋" w:cs="仿宋_GB2312"/>
          <w:sz w:val="24"/>
          <w:lang w:eastAsia="zh-CN"/>
        </w:rPr>
        <w:t>其他相关材料（</w:t>
      </w:r>
      <w:r>
        <w:rPr>
          <w:rFonts w:hint="eastAsia" w:ascii="仿宋" w:hAnsi="仿宋" w:eastAsia="仿宋"/>
          <w:sz w:val="24"/>
          <w:lang w:eastAsia="zh-CN"/>
        </w:rPr>
        <w:t>投标人认为需要提供的材料</w:t>
      </w:r>
      <w:r>
        <w:rPr>
          <w:rFonts w:hint="eastAsia" w:ascii="仿宋" w:hAnsi="仿宋" w:eastAsia="仿宋" w:cs="仿宋_GB2312"/>
          <w:sz w:val="24"/>
          <w:lang w:eastAsia="zh-CN"/>
        </w:rPr>
        <w:t>）。</w:t>
      </w:r>
    </w:p>
    <w:p>
      <w:pPr>
        <w:widowControl w:val="0"/>
        <w:spacing w:after="0" w:line="240" w:lineRule="auto"/>
        <w:ind w:firstLine="472" w:firstLineChars="196"/>
        <w:rPr>
          <w:rFonts w:ascii="仿宋" w:hAnsi="仿宋" w:eastAsia="仿宋"/>
          <w:b/>
          <w:sz w:val="24"/>
          <w:lang w:eastAsia="zh-CN"/>
        </w:rPr>
      </w:pPr>
      <w:r>
        <w:rPr>
          <w:rFonts w:hint="eastAsia" w:ascii="仿宋" w:hAnsi="仿宋" w:eastAsia="仿宋"/>
          <w:b/>
          <w:sz w:val="24"/>
          <w:lang w:eastAsia="zh-CN"/>
        </w:rPr>
        <w:t>四、开标时间及地点</w:t>
      </w:r>
    </w:p>
    <w:p>
      <w:pPr>
        <w:widowControl w:val="0"/>
        <w:spacing w:after="0" w:line="240" w:lineRule="auto"/>
        <w:ind w:firstLine="470" w:firstLineChars="196"/>
        <w:rPr>
          <w:rFonts w:ascii="仿宋" w:hAnsi="仿宋" w:eastAsia="仿宋"/>
          <w:sz w:val="24"/>
          <w:lang w:eastAsia="zh-CN"/>
        </w:rPr>
      </w:pPr>
      <w:r>
        <w:rPr>
          <w:rFonts w:hint="eastAsia" w:ascii="仿宋" w:hAnsi="仿宋" w:eastAsia="仿宋"/>
          <w:sz w:val="24"/>
          <w:lang w:eastAsia="zh-CN"/>
        </w:rPr>
        <w:t>1.开标时间：</w:t>
      </w:r>
      <w:r>
        <w:rPr>
          <w:rFonts w:hint="eastAsia" w:ascii="仿宋" w:hAnsi="仿宋" w:eastAsia="仿宋"/>
          <w:b/>
          <w:sz w:val="24"/>
          <w:lang w:eastAsia="zh-CN"/>
        </w:rPr>
        <w:t>2022年</w:t>
      </w:r>
      <w:r>
        <w:rPr>
          <w:rFonts w:hint="eastAsia" w:ascii="仿宋" w:hAnsi="仿宋" w:eastAsia="仿宋"/>
          <w:b/>
          <w:sz w:val="24"/>
          <w:lang w:val="en-US" w:eastAsia="zh-CN"/>
        </w:rPr>
        <w:t>11</w:t>
      </w:r>
      <w:r>
        <w:rPr>
          <w:rFonts w:hint="eastAsia" w:ascii="仿宋" w:hAnsi="仿宋" w:eastAsia="仿宋"/>
          <w:b/>
          <w:sz w:val="24"/>
          <w:highlight w:val="none"/>
          <w:lang w:eastAsia="zh-CN"/>
        </w:rPr>
        <w:t>月</w:t>
      </w:r>
      <w:r>
        <w:rPr>
          <w:rFonts w:hint="eastAsia" w:ascii="仿宋" w:hAnsi="仿宋" w:eastAsia="仿宋"/>
          <w:b/>
          <w:sz w:val="24"/>
          <w:highlight w:val="none"/>
          <w:lang w:val="en-US" w:eastAsia="zh-CN"/>
        </w:rPr>
        <w:t>30</w:t>
      </w:r>
      <w:r>
        <w:rPr>
          <w:rFonts w:hint="eastAsia" w:ascii="仿宋" w:hAnsi="仿宋" w:eastAsia="仿宋"/>
          <w:b/>
          <w:sz w:val="24"/>
          <w:highlight w:val="none"/>
          <w:lang w:eastAsia="zh-CN"/>
        </w:rPr>
        <w:t>日14:</w:t>
      </w:r>
      <w:r>
        <w:rPr>
          <w:rFonts w:hint="eastAsia" w:ascii="仿宋" w:hAnsi="仿宋" w:eastAsia="仿宋"/>
          <w:b/>
          <w:sz w:val="24"/>
          <w:highlight w:val="none"/>
          <w:lang w:val="en-US" w:eastAsia="zh-CN"/>
        </w:rPr>
        <w:t>0</w:t>
      </w:r>
      <w:r>
        <w:rPr>
          <w:rFonts w:hint="eastAsia" w:ascii="仿宋" w:hAnsi="仿宋" w:eastAsia="仿宋"/>
          <w:b/>
          <w:sz w:val="24"/>
          <w:highlight w:val="none"/>
          <w:lang w:eastAsia="zh-CN"/>
        </w:rPr>
        <w:t>0</w:t>
      </w:r>
      <w:r>
        <w:rPr>
          <w:rFonts w:hint="eastAsia" w:ascii="仿宋" w:hAnsi="仿宋" w:eastAsia="仿宋"/>
          <w:b/>
          <w:sz w:val="24"/>
          <w:lang w:eastAsia="zh-CN"/>
        </w:rPr>
        <w:t>。</w:t>
      </w:r>
    </w:p>
    <w:p>
      <w:pPr>
        <w:spacing w:after="0" w:line="240" w:lineRule="auto"/>
        <w:rPr>
          <w:rFonts w:ascii="仿宋" w:hAnsi="仿宋" w:eastAsia="仿宋"/>
          <w:sz w:val="24"/>
          <w:lang w:eastAsia="zh-CN"/>
        </w:rPr>
      </w:pPr>
      <w:r>
        <w:rPr>
          <w:rFonts w:hint="eastAsia" w:ascii="仿宋" w:hAnsi="仿宋" w:eastAsia="仿宋"/>
          <w:sz w:val="24"/>
          <w:lang w:eastAsia="zh-CN"/>
        </w:rPr>
        <w:t xml:space="preserve">    2.开标地点：湖州市二环东路759号湖州师范学院东校区明达楼204室。</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3.联系人：张老师；电话：0572-2322188。</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4.投标人需根据学校疫情防控要求（</w:t>
      </w:r>
      <w:r>
        <w:rPr>
          <w:rFonts w:hint="eastAsia" w:ascii="仿宋" w:hAnsi="仿宋" w:eastAsia="仿宋"/>
          <w:b/>
          <w:color w:val="auto"/>
          <w:sz w:val="24"/>
          <w:lang w:eastAsia="zh-CN"/>
        </w:rPr>
        <w:t>近14天有</w:t>
      </w:r>
      <w:r>
        <w:rPr>
          <w:rFonts w:hint="eastAsia" w:ascii="仿宋" w:hAnsi="仿宋" w:eastAsia="仿宋"/>
          <w:b/>
          <w:color w:val="auto"/>
          <w:sz w:val="24"/>
          <w:lang w:val="en-US" w:eastAsia="zh-CN"/>
        </w:rPr>
        <w:t>省</w:t>
      </w:r>
      <w:r>
        <w:rPr>
          <w:rFonts w:hint="eastAsia" w:ascii="仿宋" w:hAnsi="仿宋" w:eastAsia="仿宋"/>
          <w:b/>
          <w:color w:val="auto"/>
          <w:sz w:val="24"/>
          <w:lang w:eastAsia="zh-CN"/>
        </w:rPr>
        <w:t>外旅居史的需提供48小时内</w:t>
      </w:r>
      <w:r>
        <w:rPr>
          <w:rFonts w:hint="eastAsia" w:ascii="仿宋" w:hAnsi="仿宋" w:eastAsia="仿宋"/>
          <w:b/>
          <w:color w:val="auto"/>
          <w:sz w:val="24"/>
          <w:lang w:val="en-US" w:eastAsia="zh-CN"/>
        </w:rPr>
        <w:t>省内</w:t>
      </w:r>
      <w:r>
        <w:rPr>
          <w:rFonts w:hint="eastAsia" w:ascii="仿宋" w:hAnsi="仿宋" w:eastAsia="仿宋"/>
          <w:b/>
          <w:color w:val="auto"/>
          <w:sz w:val="24"/>
          <w:lang w:eastAsia="zh-CN"/>
        </w:rPr>
        <w:t>落地核酸阴性证明，近14天</w:t>
      </w:r>
      <w:r>
        <w:rPr>
          <w:rFonts w:hint="eastAsia" w:ascii="仿宋" w:hAnsi="仿宋" w:eastAsia="仿宋"/>
          <w:b/>
          <w:color w:val="auto"/>
          <w:sz w:val="24"/>
          <w:lang w:val="en-US" w:eastAsia="zh-CN"/>
        </w:rPr>
        <w:t>一直在省内</w:t>
      </w:r>
      <w:r>
        <w:rPr>
          <w:rFonts w:hint="eastAsia" w:ascii="仿宋" w:hAnsi="仿宋" w:eastAsia="仿宋"/>
          <w:b/>
          <w:color w:val="auto"/>
          <w:sz w:val="24"/>
          <w:lang w:eastAsia="zh-CN"/>
        </w:rPr>
        <w:t>的需提供48小时</w:t>
      </w:r>
      <w:r>
        <w:rPr>
          <w:rFonts w:hint="eastAsia" w:ascii="仿宋" w:hAnsi="仿宋" w:eastAsia="仿宋"/>
          <w:b/>
          <w:color w:val="auto"/>
          <w:sz w:val="24"/>
          <w:lang w:val="en-US" w:eastAsia="zh-CN"/>
        </w:rPr>
        <w:t>内</w:t>
      </w:r>
      <w:r>
        <w:rPr>
          <w:rFonts w:hint="eastAsia" w:ascii="仿宋" w:hAnsi="仿宋" w:eastAsia="仿宋"/>
          <w:b/>
          <w:color w:val="auto"/>
          <w:sz w:val="24"/>
          <w:lang w:eastAsia="zh-CN"/>
        </w:rPr>
        <w:t>核酸阴性证明</w:t>
      </w:r>
      <w:r>
        <w:rPr>
          <w:rFonts w:hint="eastAsia" w:ascii="仿宋" w:hAnsi="仿宋" w:eastAsia="仿宋"/>
          <w:sz w:val="24"/>
          <w:lang w:eastAsia="zh-CN"/>
        </w:rPr>
        <w:t>）委派代表出席开标会议。</w:t>
      </w:r>
    </w:p>
    <w:p>
      <w:pPr>
        <w:spacing w:after="0" w:line="240" w:lineRule="auto"/>
        <w:ind w:firstLine="472" w:firstLineChars="196"/>
        <w:rPr>
          <w:rFonts w:ascii="仿宋" w:hAnsi="仿宋" w:eastAsia="仿宋"/>
          <w:b/>
          <w:sz w:val="24"/>
          <w:lang w:eastAsia="zh-CN"/>
        </w:rPr>
      </w:pPr>
      <w:r>
        <w:rPr>
          <w:rFonts w:hint="eastAsia" w:ascii="仿宋" w:hAnsi="仿宋" w:eastAsia="仿宋"/>
          <w:b/>
          <w:sz w:val="24"/>
          <w:lang w:eastAsia="zh-CN"/>
        </w:rPr>
        <w:t>五、中标办法</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根据报价、服务承诺等确定拟中标人。</w:t>
      </w:r>
    </w:p>
    <w:p>
      <w:pPr>
        <w:spacing w:after="0" w:line="240" w:lineRule="auto"/>
        <w:ind w:firstLine="472" w:firstLineChars="196"/>
        <w:rPr>
          <w:rFonts w:ascii="仿宋" w:hAnsi="仿宋" w:eastAsia="仿宋"/>
          <w:b/>
          <w:sz w:val="24"/>
          <w:lang w:eastAsia="zh-CN"/>
        </w:rPr>
      </w:pPr>
      <w:r>
        <w:rPr>
          <w:rFonts w:hint="eastAsia" w:ascii="仿宋" w:hAnsi="仿宋" w:eastAsia="仿宋"/>
          <w:b/>
          <w:sz w:val="24"/>
          <w:lang w:eastAsia="zh-CN"/>
        </w:rPr>
        <w:t>六、付款金额及方式</w:t>
      </w:r>
    </w:p>
    <w:p>
      <w:pPr>
        <w:spacing w:after="0" w:line="240" w:lineRule="auto"/>
        <w:ind w:firstLine="480" w:firstLineChars="200"/>
        <w:rPr>
          <w:rFonts w:ascii="仿宋" w:hAnsi="仿宋" w:eastAsia="仿宋"/>
          <w:sz w:val="24"/>
          <w:lang w:eastAsia="zh-CN"/>
        </w:rPr>
      </w:pPr>
      <w:r>
        <w:rPr>
          <w:rFonts w:hint="eastAsia" w:ascii="仿宋" w:hAnsi="仿宋" w:eastAsia="仿宋"/>
          <w:sz w:val="24"/>
          <w:lang w:eastAsia="zh-CN"/>
        </w:rPr>
        <w:t>合同签订后，中标人按要求完成本项目的接入调试，经采购人验收合格后，中标人依法依规开具全额发票，采购人按合同金额原则上于14个工作日内（如遇特殊情况顺延）一次性全额支付款项。</w:t>
      </w:r>
    </w:p>
    <w:p>
      <w:pPr>
        <w:spacing w:after="0" w:line="240" w:lineRule="auto"/>
        <w:ind w:firstLine="482" w:firstLineChars="200"/>
        <w:rPr>
          <w:rFonts w:ascii="仿宋" w:hAnsi="仿宋" w:eastAsia="仿宋"/>
          <w:b/>
          <w:sz w:val="24"/>
          <w:lang w:eastAsia="zh-CN"/>
        </w:rPr>
      </w:pPr>
    </w:p>
    <w:p>
      <w:pPr>
        <w:spacing w:after="0" w:line="240" w:lineRule="auto"/>
        <w:ind w:firstLine="482" w:firstLineChars="200"/>
        <w:rPr>
          <w:rFonts w:ascii="仿宋" w:hAnsi="仿宋" w:eastAsia="仿宋"/>
          <w:b/>
          <w:sz w:val="24"/>
          <w:lang w:eastAsia="zh-CN"/>
        </w:rPr>
      </w:pPr>
      <w:r>
        <w:rPr>
          <w:rFonts w:hint="eastAsia" w:ascii="仿宋" w:hAnsi="仿宋" w:eastAsia="仿宋"/>
          <w:b/>
          <w:sz w:val="24"/>
          <w:lang w:eastAsia="zh-CN"/>
        </w:rPr>
        <w:t>附件1：投标报价清单</w:t>
      </w:r>
    </w:p>
    <w:p>
      <w:pPr>
        <w:spacing w:after="0" w:line="240" w:lineRule="auto"/>
        <w:ind w:firstLine="480" w:firstLineChars="200"/>
        <w:jc w:val="right"/>
        <w:rPr>
          <w:rFonts w:ascii="仿宋" w:hAnsi="仿宋" w:eastAsia="仿宋"/>
          <w:sz w:val="24"/>
          <w:lang w:eastAsia="zh-CN"/>
        </w:rPr>
      </w:pPr>
    </w:p>
    <w:p>
      <w:pPr>
        <w:spacing w:after="0" w:line="240" w:lineRule="auto"/>
        <w:ind w:firstLine="480" w:firstLineChars="200"/>
        <w:jc w:val="right"/>
        <w:rPr>
          <w:rFonts w:ascii="仿宋" w:hAnsi="仿宋" w:eastAsia="仿宋"/>
          <w:sz w:val="24"/>
          <w:lang w:eastAsia="zh-CN"/>
        </w:rPr>
      </w:pPr>
      <w:r>
        <w:rPr>
          <w:rFonts w:hint="eastAsia" w:ascii="仿宋" w:hAnsi="仿宋" w:eastAsia="仿宋"/>
          <w:sz w:val="24"/>
          <w:lang w:eastAsia="zh-CN"/>
        </w:rPr>
        <w:t>湖州师范学院采购中心</w:t>
      </w:r>
    </w:p>
    <w:p>
      <w:pPr>
        <w:spacing w:after="0" w:line="240" w:lineRule="auto"/>
        <w:ind w:firstLine="480" w:firstLineChars="200"/>
        <w:jc w:val="right"/>
        <w:rPr>
          <w:rFonts w:ascii="仿宋" w:hAnsi="仿宋" w:eastAsia="仿宋"/>
          <w:sz w:val="24"/>
          <w:lang w:eastAsia="zh-CN"/>
        </w:rPr>
      </w:pPr>
      <w:r>
        <w:rPr>
          <w:rFonts w:hint="eastAsia" w:ascii="仿宋" w:hAnsi="仿宋" w:eastAsia="仿宋"/>
          <w:sz w:val="24"/>
          <w:lang w:eastAsia="zh-CN"/>
        </w:rPr>
        <w:t xml:space="preserve">           2022年</w:t>
      </w:r>
      <w:r>
        <w:rPr>
          <w:rFonts w:hint="eastAsia" w:ascii="仿宋" w:hAnsi="仿宋" w:eastAsia="仿宋"/>
          <w:sz w:val="24"/>
          <w:lang w:val="en-US" w:eastAsia="zh-CN"/>
        </w:rPr>
        <w:t>11</w:t>
      </w:r>
      <w:r>
        <w:rPr>
          <w:rFonts w:hint="eastAsia" w:ascii="仿宋" w:hAnsi="仿宋" w:eastAsia="仿宋"/>
          <w:sz w:val="24"/>
          <w:lang w:eastAsia="zh-CN"/>
        </w:rPr>
        <w:t>月</w:t>
      </w:r>
      <w:r>
        <w:rPr>
          <w:rFonts w:hint="eastAsia" w:ascii="仿宋" w:hAnsi="仿宋" w:eastAsia="仿宋"/>
          <w:sz w:val="24"/>
          <w:lang w:val="en-US" w:eastAsia="zh-CN"/>
        </w:rPr>
        <w:t>23</w:t>
      </w:r>
      <w:r>
        <w:rPr>
          <w:rFonts w:hint="eastAsia" w:ascii="仿宋" w:hAnsi="仿宋" w:eastAsia="仿宋"/>
          <w:sz w:val="24"/>
          <w:highlight w:val="none"/>
          <w:lang w:eastAsia="zh-CN"/>
        </w:rPr>
        <w:t>日</w:t>
      </w:r>
    </w:p>
    <w:p>
      <w:pPr>
        <w:spacing w:after="0" w:line="360" w:lineRule="auto"/>
        <w:rPr>
          <w:rFonts w:ascii="仿宋" w:hAnsi="仿宋" w:eastAsia="仿宋"/>
          <w:sz w:val="24"/>
          <w:lang w:eastAsia="zh-CN"/>
        </w:rPr>
      </w:pPr>
    </w:p>
    <w:p>
      <w:pPr>
        <w:spacing w:before="100" w:line="340" w:lineRule="exact"/>
        <w:rPr>
          <w:rFonts w:ascii="黑体" w:hAnsi="黑体" w:eastAsia="黑体"/>
          <w:sz w:val="24"/>
          <w:lang w:eastAsia="zh-CN"/>
        </w:rPr>
      </w:pPr>
    </w:p>
    <w:p>
      <w:pPr>
        <w:spacing w:before="100" w:line="340" w:lineRule="exact"/>
        <w:rPr>
          <w:rFonts w:ascii="黑体" w:hAnsi="黑体" w:eastAsia="黑体"/>
          <w:sz w:val="24"/>
          <w:lang w:eastAsia="zh-CN"/>
        </w:rPr>
      </w:pPr>
    </w:p>
    <w:p>
      <w:pPr>
        <w:spacing w:after="0" w:line="240" w:lineRule="auto"/>
        <w:rPr>
          <w:rFonts w:ascii="黑体" w:hAnsi="黑体" w:eastAsia="黑体"/>
          <w:sz w:val="24"/>
          <w:lang w:eastAsia="zh-CN"/>
        </w:rPr>
      </w:pPr>
      <w:r>
        <w:rPr>
          <w:rFonts w:hint="eastAsia" w:ascii="黑体" w:hAnsi="黑体" w:eastAsia="黑体"/>
          <w:sz w:val="24"/>
          <w:lang w:eastAsia="zh-CN"/>
        </w:rPr>
        <w:t>附件1：投标报价清单</w:t>
      </w:r>
    </w:p>
    <w:p>
      <w:pPr>
        <w:spacing w:after="0" w:line="240" w:lineRule="auto"/>
        <w:jc w:val="center"/>
        <w:rPr>
          <w:rFonts w:ascii="仿宋" w:hAnsi="仿宋" w:eastAsia="仿宋"/>
          <w:b/>
          <w:sz w:val="36"/>
          <w:szCs w:val="36"/>
          <w:lang w:eastAsia="zh-CN"/>
        </w:rPr>
      </w:pPr>
      <w:r>
        <w:rPr>
          <w:rFonts w:hint="eastAsia" w:ascii="仿宋" w:hAnsi="仿宋" w:eastAsia="仿宋"/>
          <w:b/>
          <w:sz w:val="36"/>
          <w:szCs w:val="36"/>
          <w:lang w:eastAsia="zh-CN"/>
        </w:rPr>
        <w:t>投标报价清单</w:t>
      </w:r>
    </w:p>
    <w:p>
      <w:pPr>
        <w:spacing w:after="0" w:line="240" w:lineRule="auto"/>
        <w:rPr>
          <w:rFonts w:ascii="仿宋" w:hAnsi="仿宋" w:eastAsia="仿宋"/>
          <w:sz w:val="24"/>
          <w:lang w:eastAsia="zh-CN"/>
        </w:rPr>
      </w:pPr>
      <w:r>
        <w:rPr>
          <w:rFonts w:hint="eastAsia" w:ascii="仿宋" w:hAnsi="仿宋" w:eastAsia="仿宋"/>
          <w:sz w:val="24"/>
          <w:lang w:eastAsia="zh-CN"/>
        </w:rPr>
        <w:t>采购项目名称：</w:t>
      </w:r>
      <w:r>
        <w:rPr>
          <w:rFonts w:hint="eastAsia" w:ascii="仿宋" w:hAnsi="仿宋" w:eastAsia="仿宋"/>
          <w:sz w:val="24"/>
          <w:szCs w:val="24"/>
          <w:lang w:eastAsia="zh-CN"/>
        </w:rPr>
        <w:t>湖州师范学院监控系统接入省教育厅校园安全管理平台网关设备采购项目</w:t>
      </w:r>
    </w:p>
    <w:p>
      <w:pPr>
        <w:spacing w:after="0" w:line="240" w:lineRule="auto"/>
        <w:rPr>
          <w:rFonts w:hint="eastAsia" w:ascii="仿宋" w:hAnsi="仿宋" w:eastAsia="仿宋"/>
          <w:sz w:val="24"/>
          <w:lang w:eastAsia="zh-CN"/>
        </w:rPr>
      </w:pPr>
      <w:r>
        <w:rPr>
          <w:rFonts w:hint="eastAsia" w:ascii="仿宋" w:hAnsi="仿宋" w:eastAsia="仿宋"/>
          <w:sz w:val="24"/>
          <w:lang w:eastAsia="zh-CN"/>
        </w:rPr>
        <w:t>采购项目编号：XZ2022-126</w:t>
      </w:r>
    </w:p>
    <w:p>
      <w:pPr>
        <w:pStyle w:val="2"/>
        <w:spacing w:after="0"/>
        <w:rPr>
          <w:rFonts w:hint="eastAsia" w:ascii="仿宋" w:hAnsi="仿宋" w:eastAsia="仿宋"/>
          <w:sz w:val="24"/>
          <w:lang w:eastAsia="zh-CN"/>
        </w:rPr>
      </w:pPr>
    </w:p>
    <w:tbl>
      <w:tblPr>
        <w:tblStyle w:val="18"/>
        <w:tblW w:w="872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567" w:type="dxa"/>
          <w:left w:w="105" w:type="dxa"/>
          <w:bottom w:w="567" w:type="dxa"/>
          <w:right w:w="105" w:type="dxa"/>
        </w:tblCellMar>
      </w:tblPr>
      <w:tblGrid>
        <w:gridCol w:w="790"/>
        <w:gridCol w:w="2382"/>
        <w:gridCol w:w="3630"/>
        <w:gridCol w:w="750"/>
        <w:gridCol w:w="11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7" w:type="dxa"/>
            <w:left w:w="105" w:type="dxa"/>
            <w:bottom w:w="567" w:type="dxa"/>
            <w:right w:w="105" w:type="dxa"/>
          </w:tblCellMar>
        </w:tblPrEx>
        <w:trPr>
          <w:trHeight w:val="653" w:hRule="atLeast"/>
          <w:jc w:val="center"/>
        </w:trPr>
        <w:tc>
          <w:tcPr>
            <w:tcW w:w="79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Style w:val="21"/>
                <w:rFonts w:hint="eastAsia" w:ascii="仿宋" w:hAnsi="仿宋" w:eastAsia="仿宋" w:cs="仿宋"/>
              </w:rPr>
              <w:t>序号</w:t>
            </w:r>
          </w:p>
        </w:tc>
        <w:tc>
          <w:tcPr>
            <w:tcW w:w="2382"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Style w:val="21"/>
                <w:rFonts w:hint="eastAsia" w:ascii="仿宋" w:hAnsi="仿宋" w:eastAsia="仿宋" w:cs="仿宋"/>
              </w:rPr>
              <w:t>名称</w:t>
            </w:r>
          </w:p>
        </w:tc>
        <w:tc>
          <w:tcPr>
            <w:tcW w:w="363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Fonts w:hint="eastAsia" w:ascii="仿宋" w:hAnsi="仿宋" w:eastAsia="仿宋" w:cstheme="minorBidi"/>
                <w:b/>
                <w:szCs w:val="22"/>
                <w:lang w:eastAsia="zh-CN" w:bidi="en-US"/>
              </w:rPr>
              <w:t>技术</w:t>
            </w:r>
            <w:r>
              <w:rPr>
                <w:rFonts w:hint="eastAsia" w:ascii="仿宋" w:hAnsi="仿宋" w:eastAsia="仿宋" w:cstheme="minorBidi"/>
                <w:b/>
                <w:szCs w:val="22"/>
                <w:lang w:bidi="en-US"/>
              </w:rPr>
              <w:t>要求</w:t>
            </w:r>
          </w:p>
        </w:tc>
        <w:tc>
          <w:tcPr>
            <w:tcW w:w="75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Style w:val="21"/>
                <w:rFonts w:hint="eastAsia" w:ascii="仿宋" w:hAnsi="仿宋" w:eastAsia="仿宋" w:cs="仿宋"/>
              </w:rPr>
              <w:t>数量</w:t>
            </w:r>
          </w:p>
        </w:tc>
        <w:tc>
          <w:tcPr>
            <w:tcW w:w="1176"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Style w:val="21"/>
                <w:rFonts w:hint="eastAsia" w:ascii="仿宋" w:hAnsi="仿宋" w:eastAsia="仿宋" w:cs="仿宋"/>
                <w:lang w:eastAsia="zh-CN"/>
              </w:rPr>
              <w:t>投标报</w:t>
            </w:r>
            <w:r>
              <w:rPr>
                <w:rStyle w:val="21"/>
                <w:rFonts w:hint="eastAsia" w:ascii="仿宋" w:hAnsi="仿宋" w:eastAsia="仿宋" w:cs="仿宋"/>
              </w:rPr>
              <w:t>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7" w:type="dxa"/>
            <w:left w:w="105" w:type="dxa"/>
            <w:bottom w:w="567" w:type="dxa"/>
            <w:right w:w="105" w:type="dxa"/>
          </w:tblCellMar>
        </w:tblPrEx>
        <w:trPr>
          <w:trHeight w:val="1266" w:hRule="atLeast"/>
          <w:jc w:val="center"/>
        </w:trPr>
        <w:tc>
          <w:tcPr>
            <w:tcW w:w="79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Fonts w:hint="eastAsia" w:ascii="仿宋" w:hAnsi="仿宋" w:eastAsia="仿宋" w:cs="仿宋"/>
              </w:rPr>
              <w:t>1</w:t>
            </w:r>
          </w:p>
        </w:tc>
        <w:tc>
          <w:tcPr>
            <w:tcW w:w="2382" w:type="dxa"/>
            <w:vMerge w:val="restart"/>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sz w:val="21"/>
                <w:szCs w:val="21"/>
              </w:rPr>
            </w:pPr>
            <w:r>
              <w:rPr>
                <w:rFonts w:hint="eastAsia" w:ascii="仿宋" w:hAnsi="仿宋" w:eastAsia="仿宋"/>
                <w:sz w:val="24"/>
                <w:szCs w:val="24"/>
                <w:lang w:eastAsia="zh-CN"/>
              </w:rPr>
              <w:t>湖州师范学院监控系统接入省教育厅校园安全管理平台网关设备采购项目</w:t>
            </w:r>
          </w:p>
        </w:tc>
        <w:tc>
          <w:tcPr>
            <w:tcW w:w="363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default" w:ascii="仿宋" w:hAnsi="仿宋" w:eastAsia="仿宋" w:cs="仿宋"/>
                <w:shd w:val="clear" w:color="auto" w:fill="FFFFFF"/>
                <w:lang w:val="en-US" w:eastAsia="zh-CN"/>
              </w:rPr>
            </w:pPr>
            <w:r>
              <w:rPr>
                <w:rFonts w:hint="eastAsia" w:ascii="仿宋" w:hAnsi="仿宋" w:eastAsia="仿宋"/>
                <w:lang w:eastAsia="zh-CN"/>
              </w:rPr>
              <w:t>视频接入网关，型号：</w:t>
            </w:r>
            <w:r>
              <w:rPr>
                <w:rFonts w:hint="eastAsia" w:ascii="仿宋" w:hAnsi="仿宋" w:eastAsia="仿宋"/>
                <w:lang w:val="en-US" w:eastAsia="zh-CN"/>
              </w:rPr>
              <w:t>VGA-TJ-1900T；授权接入监控摄像机路数：300路；质保期：1年。</w:t>
            </w:r>
          </w:p>
        </w:tc>
        <w:tc>
          <w:tcPr>
            <w:tcW w:w="75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hd w:val="clear" w:color="auto" w:fill="FFFFFF"/>
                <w:lang w:eastAsia="zh-CN"/>
              </w:rPr>
            </w:pPr>
            <w:r>
              <w:rPr>
                <w:rFonts w:hint="eastAsia" w:ascii="仿宋" w:hAnsi="仿宋" w:eastAsia="仿宋" w:cs="仿宋"/>
                <w:shd w:val="clear" w:color="auto" w:fill="FFFFFF"/>
              </w:rPr>
              <w:t>1</w:t>
            </w:r>
            <w:r>
              <w:rPr>
                <w:rFonts w:hint="eastAsia" w:ascii="仿宋" w:hAnsi="仿宋" w:eastAsia="仿宋" w:cs="仿宋"/>
                <w:shd w:val="clear" w:color="auto" w:fill="FFFFFF"/>
                <w:lang w:eastAsia="zh-CN"/>
              </w:rPr>
              <w:t>台</w:t>
            </w:r>
          </w:p>
        </w:tc>
        <w:tc>
          <w:tcPr>
            <w:tcW w:w="1176"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ascii="仿宋" w:hAnsi="仿宋" w:eastAsia="仿宋" w:cs="仿宋"/>
                <w:shd w:val="clear" w:color="auto" w:fill="FFFFFF"/>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7" w:type="dxa"/>
            <w:left w:w="105" w:type="dxa"/>
            <w:bottom w:w="567" w:type="dxa"/>
            <w:right w:w="105" w:type="dxa"/>
          </w:tblCellMar>
        </w:tblPrEx>
        <w:trPr>
          <w:trHeight w:val="412" w:hRule="atLeast"/>
          <w:jc w:val="center"/>
        </w:trPr>
        <w:tc>
          <w:tcPr>
            <w:tcW w:w="79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382" w:type="dxa"/>
            <w:vMerge w:val="continue"/>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sz w:val="24"/>
                <w:szCs w:val="24"/>
                <w:lang w:eastAsia="zh-CN"/>
              </w:rPr>
            </w:pPr>
          </w:p>
        </w:tc>
        <w:tc>
          <w:tcPr>
            <w:tcW w:w="363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lang w:eastAsia="zh-CN"/>
              </w:rPr>
            </w:pPr>
            <w:r>
              <w:rPr>
                <w:rFonts w:hint="eastAsia" w:ascii="仿宋" w:hAnsi="仿宋" w:eastAsia="仿宋"/>
                <w:lang w:eastAsia="zh-CN"/>
              </w:rPr>
              <w:t>设备调试费用</w:t>
            </w:r>
          </w:p>
        </w:tc>
        <w:tc>
          <w:tcPr>
            <w:tcW w:w="75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1项</w:t>
            </w:r>
          </w:p>
        </w:tc>
        <w:tc>
          <w:tcPr>
            <w:tcW w:w="1176"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default" w:ascii="仿宋" w:hAnsi="仿宋" w:eastAsia="仿宋" w:cs="仿宋"/>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567" w:type="dxa"/>
            <w:left w:w="105" w:type="dxa"/>
            <w:bottom w:w="567" w:type="dxa"/>
            <w:right w:w="105" w:type="dxa"/>
          </w:tblCellMar>
        </w:tblPrEx>
        <w:trPr>
          <w:trHeight w:val="607" w:hRule="atLeast"/>
          <w:jc w:val="center"/>
        </w:trPr>
        <w:tc>
          <w:tcPr>
            <w:tcW w:w="790" w:type="dxa"/>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b/>
                <w:bCs/>
                <w:lang w:val="en-US" w:eastAsia="zh-CN"/>
              </w:rPr>
            </w:pPr>
            <w:r>
              <w:rPr>
                <w:rFonts w:hint="eastAsia" w:ascii="仿宋" w:hAnsi="仿宋" w:eastAsia="仿宋" w:cs="仿宋"/>
                <w:b/>
                <w:bCs/>
                <w:lang w:val="en-US" w:eastAsia="zh-CN"/>
              </w:rPr>
              <w:t>合计</w:t>
            </w:r>
          </w:p>
        </w:tc>
        <w:tc>
          <w:tcPr>
            <w:tcW w:w="7938" w:type="dxa"/>
            <w:gridSpan w:val="4"/>
            <w:tcBorders>
              <w:top w:val="single" w:color="000000" w:sz="6" w:space="0"/>
              <w:left w:val="single" w:color="000000" w:sz="6" w:space="0"/>
              <w:bottom w:val="single" w:color="000000" w:sz="6" w:space="0"/>
              <w:right w:val="single" w:color="000000" w:sz="6" w:space="0"/>
            </w:tcBorders>
            <w:tcMar>
              <w:top w:w="0" w:type="dxa"/>
              <w:bottom w:w="0" w:type="dxa"/>
            </w:tcMar>
            <w:vAlign w:val="center"/>
          </w:tcPr>
          <w:p>
            <w:pPr>
              <w:pStyle w:val="16"/>
              <w:widowControl/>
              <w:spacing w:before="225" w:beforeAutospacing="0" w:after="225" w:afterAutospacing="0"/>
              <w:jc w:val="center"/>
              <w:rPr>
                <w:rFonts w:hint="eastAsia" w:ascii="仿宋" w:hAnsi="仿宋" w:eastAsia="仿宋" w:cs="仿宋"/>
                <w:b/>
                <w:bCs/>
                <w:shd w:val="clear" w:color="auto" w:fill="FFFFFF"/>
                <w:lang w:val="en-US" w:eastAsia="zh-CN"/>
              </w:rPr>
            </w:pPr>
            <w:r>
              <w:rPr>
                <w:rFonts w:hint="eastAsia" w:ascii="仿宋" w:hAnsi="仿宋" w:eastAsia="仿宋" w:cs="仿宋"/>
                <w:b/>
                <w:bCs/>
                <w:shd w:val="clear" w:color="auto" w:fill="FFFFFF"/>
                <w:lang w:val="en-US" w:eastAsia="zh-CN"/>
              </w:rPr>
              <w:t>人民币          元整（¥：     元）</w:t>
            </w:r>
          </w:p>
        </w:tc>
      </w:tr>
    </w:tbl>
    <w:p>
      <w:pPr>
        <w:spacing w:after="0" w:line="240" w:lineRule="auto"/>
        <w:rPr>
          <w:rFonts w:ascii="仿宋" w:hAnsi="仿宋" w:eastAsia="仿宋"/>
          <w:b/>
          <w:sz w:val="24"/>
          <w:lang w:eastAsia="zh-CN"/>
        </w:rPr>
      </w:pPr>
    </w:p>
    <w:p>
      <w:pPr>
        <w:spacing w:after="0" w:line="240" w:lineRule="auto"/>
        <w:rPr>
          <w:sz w:val="18"/>
          <w:szCs w:val="18"/>
          <w:lang w:eastAsia="zh-CN"/>
        </w:rPr>
      </w:pPr>
      <w:r>
        <w:rPr>
          <w:rFonts w:hint="eastAsia" w:ascii="仿宋" w:hAnsi="仿宋" w:eastAsia="仿宋"/>
          <w:sz w:val="24"/>
          <w:lang w:eastAsia="zh-CN"/>
        </w:rPr>
        <w:t>注：以上报价含货物费、调试费、服务费、税金等全部费用。项目总价高于采购预算者视为无效报价。报价以人民币计，并以大写为准。</w:t>
      </w:r>
    </w:p>
    <w:p>
      <w:pPr>
        <w:rPr>
          <w:lang w:eastAsia="zh-CN"/>
        </w:rPr>
      </w:pPr>
    </w:p>
    <w:p>
      <w:pPr>
        <w:spacing w:before="100" w:line="340" w:lineRule="exact"/>
        <w:ind w:firstLine="4581" w:firstLineChars="1909"/>
        <w:rPr>
          <w:rFonts w:ascii="仿宋" w:hAnsi="仿宋" w:eastAsia="仿宋"/>
          <w:sz w:val="24"/>
          <w:u w:val="single"/>
          <w:lang w:eastAsia="zh-CN"/>
        </w:rPr>
      </w:pPr>
      <w:r>
        <w:rPr>
          <w:rFonts w:hint="eastAsia" w:ascii="仿宋" w:hAnsi="仿宋" w:eastAsia="仿宋"/>
          <w:sz w:val="24"/>
          <w:lang w:eastAsia="zh-CN"/>
        </w:rPr>
        <w:t>授权代表签字：</w:t>
      </w:r>
    </w:p>
    <w:p>
      <w:pPr>
        <w:spacing w:before="100" w:line="340" w:lineRule="exact"/>
        <w:ind w:right="120" w:firstLine="4560" w:firstLineChars="1900"/>
        <w:rPr>
          <w:rFonts w:ascii="仿宋" w:hAnsi="仿宋" w:eastAsia="仿宋"/>
          <w:sz w:val="24"/>
          <w:u w:val="single"/>
          <w:lang w:eastAsia="zh-CN"/>
        </w:rPr>
      </w:pPr>
      <w:r>
        <w:rPr>
          <w:rFonts w:hint="eastAsia" w:ascii="仿宋" w:hAnsi="仿宋" w:eastAsia="仿宋"/>
          <w:sz w:val="24"/>
          <w:lang w:eastAsia="zh-CN"/>
        </w:rPr>
        <w:t>投标人（盖章）：</w:t>
      </w:r>
    </w:p>
    <w:p>
      <w:pPr>
        <w:wordWrap w:val="0"/>
        <w:spacing w:before="100" w:line="340" w:lineRule="exact"/>
        <w:ind w:firstLine="480" w:firstLineChars="200"/>
        <w:jc w:val="right"/>
        <w:rPr>
          <w:rFonts w:ascii="仿宋" w:hAnsi="仿宋" w:eastAsia="仿宋"/>
          <w:sz w:val="24"/>
          <w:lang w:eastAsia="zh-CN"/>
        </w:rPr>
      </w:pPr>
      <w:r>
        <w:rPr>
          <w:rFonts w:hint="eastAsia" w:ascii="仿宋" w:hAnsi="仿宋" w:eastAsia="仿宋"/>
          <w:sz w:val="24"/>
          <w:lang w:eastAsia="zh-CN"/>
        </w:rPr>
        <w:t xml:space="preserve">             2022年月日</w:t>
      </w:r>
    </w:p>
    <w:sectPr>
      <w:pgSz w:w="11906" w:h="16838"/>
      <w:pgMar w:top="1304" w:right="1588" w:bottom="1021"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185D6"/>
    <w:multiLevelType w:val="singleLevel"/>
    <w:tmpl w:val="ADC185D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1B2D"/>
    <w:rsid w:val="00006F97"/>
    <w:rsid w:val="000148E3"/>
    <w:rsid w:val="00033F10"/>
    <w:rsid w:val="00047190"/>
    <w:rsid w:val="000602BE"/>
    <w:rsid w:val="0007391A"/>
    <w:rsid w:val="00077B0E"/>
    <w:rsid w:val="000974B0"/>
    <w:rsid w:val="000B19CE"/>
    <w:rsid w:val="000B47DE"/>
    <w:rsid w:val="000C5DDA"/>
    <w:rsid w:val="000C74B2"/>
    <w:rsid w:val="001119DB"/>
    <w:rsid w:val="001323AE"/>
    <w:rsid w:val="00136F45"/>
    <w:rsid w:val="001431D5"/>
    <w:rsid w:val="00155B81"/>
    <w:rsid w:val="001847AD"/>
    <w:rsid w:val="0019727A"/>
    <w:rsid w:val="001A0BD1"/>
    <w:rsid w:val="001A7612"/>
    <w:rsid w:val="001C3482"/>
    <w:rsid w:val="001C7BE9"/>
    <w:rsid w:val="001E35E8"/>
    <w:rsid w:val="001F466B"/>
    <w:rsid w:val="001F4F6B"/>
    <w:rsid w:val="001F6E41"/>
    <w:rsid w:val="00223F7F"/>
    <w:rsid w:val="002252F9"/>
    <w:rsid w:val="0022687C"/>
    <w:rsid w:val="002313B8"/>
    <w:rsid w:val="00241CBA"/>
    <w:rsid w:val="00247BA2"/>
    <w:rsid w:val="00251B81"/>
    <w:rsid w:val="00262C6F"/>
    <w:rsid w:val="00262EDB"/>
    <w:rsid w:val="00277CD1"/>
    <w:rsid w:val="00282DFF"/>
    <w:rsid w:val="00290A4F"/>
    <w:rsid w:val="00293B78"/>
    <w:rsid w:val="002A2FCB"/>
    <w:rsid w:val="002B1402"/>
    <w:rsid w:val="002B7834"/>
    <w:rsid w:val="002D5AD8"/>
    <w:rsid w:val="002E47A5"/>
    <w:rsid w:val="002E487C"/>
    <w:rsid w:val="002F70DB"/>
    <w:rsid w:val="00301262"/>
    <w:rsid w:val="00341C94"/>
    <w:rsid w:val="003736E8"/>
    <w:rsid w:val="00374D03"/>
    <w:rsid w:val="0037651D"/>
    <w:rsid w:val="00377E50"/>
    <w:rsid w:val="003814F8"/>
    <w:rsid w:val="003A28D8"/>
    <w:rsid w:val="003B081E"/>
    <w:rsid w:val="003B30F1"/>
    <w:rsid w:val="003C0251"/>
    <w:rsid w:val="003C2C7A"/>
    <w:rsid w:val="003C46C9"/>
    <w:rsid w:val="003D35CA"/>
    <w:rsid w:val="003E4D40"/>
    <w:rsid w:val="003F3B9E"/>
    <w:rsid w:val="003F6A7E"/>
    <w:rsid w:val="00421AC5"/>
    <w:rsid w:val="00434D74"/>
    <w:rsid w:val="0046409F"/>
    <w:rsid w:val="00485E7C"/>
    <w:rsid w:val="00486EA4"/>
    <w:rsid w:val="004A5C53"/>
    <w:rsid w:val="004D12C7"/>
    <w:rsid w:val="004E1C35"/>
    <w:rsid w:val="00501EFC"/>
    <w:rsid w:val="00506FC9"/>
    <w:rsid w:val="005135C0"/>
    <w:rsid w:val="00533C27"/>
    <w:rsid w:val="00533E0C"/>
    <w:rsid w:val="00535FD4"/>
    <w:rsid w:val="00577567"/>
    <w:rsid w:val="00577A8B"/>
    <w:rsid w:val="0058068F"/>
    <w:rsid w:val="005A3DD5"/>
    <w:rsid w:val="005A4FAF"/>
    <w:rsid w:val="005B49F6"/>
    <w:rsid w:val="005E20B6"/>
    <w:rsid w:val="005E3210"/>
    <w:rsid w:val="0061361A"/>
    <w:rsid w:val="00646079"/>
    <w:rsid w:val="0066287C"/>
    <w:rsid w:val="00662B36"/>
    <w:rsid w:val="0067008C"/>
    <w:rsid w:val="00676BBC"/>
    <w:rsid w:val="00690B6A"/>
    <w:rsid w:val="00692E98"/>
    <w:rsid w:val="006C04C1"/>
    <w:rsid w:val="006C1D07"/>
    <w:rsid w:val="006E7C72"/>
    <w:rsid w:val="007074FB"/>
    <w:rsid w:val="00731A1E"/>
    <w:rsid w:val="007411A0"/>
    <w:rsid w:val="00742716"/>
    <w:rsid w:val="00743E3A"/>
    <w:rsid w:val="00765149"/>
    <w:rsid w:val="007847A2"/>
    <w:rsid w:val="00787C21"/>
    <w:rsid w:val="00796FAD"/>
    <w:rsid w:val="007A6F57"/>
    <w:rsid w:val="007B148B"/>
    <w:rsid w:val="007C2F10"/>
    <w:rsid w:val="007F31FD"/>
    <w:rsid w:val="007F3CC5"/>
    <w:rsid w:val="00846D40"/>
    <w:rsid w:val="008610E5"/>
    <w:rsid w:val="00871908"/>
    <w:rsid w:val="00872B66"/>
    <w:rsid w:val="00873EB5"/>
    <w:rsid w:val="00885810"/>
    <w:rsid w:val="008A6901"/>
    <w:rsid w:val="008A7BED"/>
    <w:rsid w:val="008B2694"/>
    <w:rsid w:val="008B4783"/>
    <w:rsid w:val="008D6E99"/>
    <w:rsid w:val="008F06A2"/>
    <w:rsid w:val="009050F6"/>
    <w:rsid w:val="009246BE"/>
    <w:rsid w:val="0093609F"/>
    <w:rsid w:val="00945964"/>
    <w:rsid w:val="00946308"/>
    <w:rsid w:val="009469F1"/>
    <w:rsid w:val="00956121"/>
    <w:rsid w:val="00957100"/>
    <w:rsid w:val="00981B2D"/>
    <w:rsid w:val="00992EF7"/>
    <w:rsid w:val="009B05DE"/>
    <w:rsid w:val="009B209D"/>
    <w:rsid w:val="009C5B48"/>
    <w:rsid w:val="009C7CF7"/>
    <w:rsid w:val="009D31CA"/>
    <w:rsid w:val="009E118A"/>
    <w:rsid w:val="009E6AA5"/>
    <w:rsid w:val="009F0411"/>
    <w:rsid w:val="00A0381F"/>
    <w:rsid w:val="00A26401"/>
    <w:rsid w:val="00A34DE4"/>
    <w:rsid w:val="00A436D7"/>
    <w:rsid w:val="00A51E62"/>
    <w:rsid w:val="00A60731"/>
    <w:rsid w:val="00A707C8"/>
    <w:rsid w:val="00A828F8"/>
    <w:rsid w:val="00A967AF"/>
    <w:rsid w:val="00AB5B55"/>
    <w:rsid w:val="00AC743A"/>
    <w:rsid w:val="00AD6333"/>
    <w:rsid w:val="00AF795E"/>
    <w:rsid w:val="00B024D3"/>
    <w:rsid w:val="00B12577"/>
    <w:rsid w:val="00B20CFC"/>
    <w:rsid w:val="00B321C7"/>
    <w:rsid w:val="00B35DD9"/>
    <w:rsid w:val="00B417FA"/>
    <w:rsid w:val="00B4536D"/>
    <w:rsid w:val="00B50B26"/>
    <w:rsid w:val="00B55971"/>
    <w:rsid w:val="00B62B35"/>
    <w:rsid w:val="00B72DE1"/>
    <w:rsid w:val="00B74204"/>
    <w:rsid w:val="00BA22B9"/>
    <w:rsid w:val="00BA5691"/>
    <w:rsid w:val="00BD1F55"/>
    <w:rsid w:val="00BE4FC0"/>
    <w:rsid w:val="00BE50A4"/>
    <w:rsid w:val="00BF3519"/>
    <w:rsid w:val="00C03987"/>
    <w:rsid w:val="00C14CF1"/>
    <w:rsid w:val="00C169FF"/>
    <w:rsid w:val="00C553B9"/>
    <w:rsid w:val="00C91829"/>
    <w:rsid w:val="00C929FF"/>
    <w:rsid w:val="00C97080"/>
    <w:rsid w:val="00CA3668"/>
    <w:rsid w:val="00CA37B8"/>
    <w:rsid w:val="00CC65EC"/>
    <w:rsid w:val="00CD7197"/>
    <w:rsid w:val="00CE2F44"/>
    <w:rsid w:val="00CE6DB1"/>
    <w:rsid w:val="00D015D3"/>
    <w:rsid w:val="00D07C81"/>
    <w:rsid w:val="00D1378A"/>
    <w:rsid w:val="00D27589"/>
    <w:rsid w:val="00D360B2"/>
    <w:rsid w:val="00D464A0"/>
    <w:rsid w:val="00D46710"/>
    <w:rsid w:val="00D5660E"/>
    <w:rsid w:val="00D62FCD"/>
    <w:rsid w:val="00D810AA"/>
    <w:rsid w:val="00D9269E"/>
    <w:rsid w:val="00DA0909"/>
    <w:rsid w:val="00DA512B"/>
    <w:rsid w:val="00DC4F80"/>
    <w:rsid w:val="00DD0E29"/>
    <w:rsid w:val="00DE4CB8"/>
    <w:rsid w:val="00E11CBA"/>
    <w:rsid w:val="00E16324"/>
    <w:rsid w:val="00E27075"/>
    <w:rsid w:val="00E3735D"/>
    <w:rsid w:val="00E46CD5"/>
    <w:rsid w:val="00E66F2C"/>
    <w:rsid w:val="00EE381C"/>
    <w:rsid w:val="00EF648E"/>
    <w:rsid w:val="00F03689"/>
    <w:rsid w:val="00F05AD1"/>
    <w:rsid w:val="00F10EA3"/>
    <w:rsid w:val="00F1587F"/>
    <w:rsid w:val="00F158D1"/>
    <w:rsid w:val="00F21731"/>
    <w:rsid w:val="00F36DCF"/>
    <w:rsid w:val="00F67CF8"/>
    <w:rsid w:val="00F704D0"/>
    <w:rsid w:val="00F72626"/>
    <w:rsid w:val="00F924EC"/>
    <w:rsid w:val="00FB0EFA"/>
    <w:rsid w:val="00FB3A72"/>
    <w:rsid w:val="00FF6BC6"/>
    <w:rsid w:val="164754AD"/>
    <w:rsid w:val="16D320F4"/>
    <w:rsid w:val="203A7F40"/>
    <w:rsid w:val="272D7268"/>
    <w:rsid w:val="2D6B44BC"/>
    <w:rsid w:val="31391F23"/>
    <w:rsid w:val="38B4096E"/>
    <w:rsid w:val="3B504323"/>
    <w:rsid w:val="4C8243E0"/>
    <w:rsid w:val="5B1722B9"/>
    <w:rsid w:val="76F62630"/>
    <w:rsid w:val="79E3407B"/>
    <w:rsid w:val="7E960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3">
    <w:name w:val="heading 1"/>
    <w:basedOn w:val="1"/>
    <w:next w:val="1"/>
    <w:link w:val="24"/>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4">
    <w:name w:val="heading 2"/>
    <w:basedOn w:val="1"/>
    <w:next w:val="1"/>
    <w:link w:val="25"/>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5">
    <w:name w:val="heading 3"/>
    <w:basedOn w:val="1"/>
    <w:next w:val="1"/>
    <w:link w:val="26"/>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6">
    <w:name w:val="heading 4"/>
    <w:basedOn w:val="1"/>
    <w:next w:val="1"/>
    <w:link w:val="27"/>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7">
    <w:name w:val="heading 5"/>
    <w:basedOn w:val="1"/>
    <w:next w:val="1"/>
    <w:link w:val="28"/>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8">
    <w:name w:val="heading 6"/>
    <w:basedOn w:val="1"/>
    <w:next w:val="1"/>
    <w:link w:val="29"/>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9">
    <w:name w:val="heading 7"/>
    <w:basedOn w:val="1"/>
    <w:next w:val="1"/>
    <w:link w:val="30"/>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10">
    <w:name w:val="heading 8"/>
    <w:basedOn w:val="1"/>
    <w:next w:val="1"/>
    <w:link w:val="31"/>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1">
    <w:name w:val="heading 9"/>
    <w:basedOn w:val="1"/>
    <w:next w:val="1"/>
    <w:link w:val="32"/>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Balloon Text"/>
    <w:basedOn w:val="1"/>
    <w:link w:val="33"/>
    <w:semiHidden/>
    <w:unhideWhenUsed/>
    <w:qFormat/>
    <w:uiPriority w:val="99"/>
    <w:pPr>
      <w:spacing w:after="0" w:line="240" w:lineRule="auto"/>
    </w:pPr>
    <w:rPr>
      <w:sz w:val="18"/>
      <w:szCs w:val="18"/>
    </w:rPr>
  </w:style>
  <w:style w:type="paragraph" w:styleId="14">
    <w:name w:val="footer"/>
    <w:basedOn w:val="1"/>
    <w:link w:val="34"/>
    <w:semiHidden/>
    <w:unhideWhenUsed/>
    <w:qFormat/>
    <w:uiPriority w:val="99"/>
    <w:pPr>
      <w:tabs>
        <w:tab w:val="center" w:pos="4153"/>
        <w:tab w:val="right" w:pos="8306"/>
      </w:tabs>
      <w:snapToGrid w:val="0"/>
      <w:spacing w:line="240" w:lineRule="auto"/>
    </w:pPr>
    <w:rPr>
      <w:sz w:val="18"/>
      <w:szCs w:val="18"/>
    </w:rPr>
  </w:style>
  <w:style w:type="paragraph" w:styleId="15">
    <w:name w:val="Subtitle"/>
    <w:basedOn w:val="1"/>
    <w:next w:val="1"/>
    <w:link w:val="35"/>
    <w:qFormat/>
    <w:uiPriority w:val="11"/>
    <w:rPr>
      <w:rFonts w:asciiTheme="majorHAnsi" w:hAnsiTheme="majorHAnsi" w:eastAsiaTheme="majorEastAsia" w:cstheme="majorBidi"/>
      <w:i/>
      <w:iCs/>
      <w:color w:val="4F81BD" w:themeColor="accent1"/>
      <w:spacing w:val="15"/>
      <w:sz w:val="24"/>
      <w:szCs w:val="24"/>
    </w:rPr>
  </w:style>
  <w:style w:type="paragraph" w:styleId="16">
    <w:name w:val="Normal (Web)"/>
    <w:basedOn w:val="1"/>
    <w:qFormat/>
    <w:uiPriority w:val="0"/>
    <w:pPr>
      <w:widowControl w:val="0"/>
      <w:spacing w:before="100" w:beforeAutospacing="1" w:after="100" w:afterAutospacing="1" w:line="240" w:lineRule="auto"/>
    </w:pPr>
    <w:rPr>
      <w:rFonts w:ascii="Calibri" w:hAnsi="Calibri" w:eastAsia="宋体" w:cs="Times New Roman"/>
      <w:sz w:val="24"/>
      <w:szCs w:val="24"/>
      <w:lang w:eastAsia="zh-CN" w:bidi="ar-SA"/>
    </w:rPr>
  </w:style>
  <w:style w:type="paragraph" w:styleId="17">
    <w:name w:val="Title"/>
    <w:basedOn w:val="1"/>
    <w:next w:val="1"/>
    <w:link w:val="3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Emphasis"/>
    <w:basedOn w:val="20"/>
    <w:qFormat/>
    <w:uiPriority w:val="20"/>
    <w:rPr>
      <w:i/>
      <w:iCs/>
    </w:rPr>
  </w:style>
  <w:style w:type="character" w:customStyle="1" w:styleId="23">
    <w:name w:val="页眉 Char"/>
    <w:basedOn w:val="20"/>
    <w:link w:val="2"/>
    <w:qFormat/>
    <w:uiPriority w:val="99"/>
    <w:rPr>
      <w:sz w:val="18"/>
      <w:szCs w:val="18"/>
    </w:rPr>
  </w:style>
  <w:style w:type="character" w:customStyle="1" w:styleId="24">
    <w:name w:val="标题 1 Char"/>
    <w:basedOn w:val="20"/>
    <w:link w:val="3"/>
    <w:qFormat/>
    <w:uiPriority w:val="9"/>
    <w:rPr>
      <w:rFonts w:asciiTheme="majorHAnsi" w:hAnsiTheme="majorHAnsi" w:eastAsiaTheme="majorEastAsia" w:cstheme="majorBidi"/>
      <w:b/>
      <w:bCs/>
      <w:color w:val="366091" w:themeColor="accent1" w:themeShade="BF"/>
      <w:sz w:val="28"/>
      <w:szCs w:val="28"/>
    </w:rPr>
  </w:style>
  <w:style w:type="character" w:customStyle="1" w:styleId="25">
    <w:name w:val="标题 2 Char"/>
    <w:basedOn w:val="20"/>
    <w:link w:val="4"/>
    <w:semiHidden/>
    <w:qFormat/>
    <w:uiPriority w:val="9"/>
    <w:rPr>
      <w:rFonts w:asciiTheme="majorHAnsi" w:hAnsiTheme="majorHAnsi" w:eastAsiaTheme="majorEastAsia" w:cstheme="majorBidi"/>
      <w:b/>
      <w:bCs/>
      <w:color w:val="4F81BD" w:themeColor="accent1"/>
      <w:sz w:val="26"/>
      <w:szCs w:val="26"/>
    </w:rPr>
  </w:style>
  <w:style w:type="character" w:customStyle="1" w:styleId="26">
    <w:name w:val="标题 3 Char"/>
    <w:basedOn w:val="20"/>
    <w:link w:val="5"/>
    <w:qFormat/>
    <w:uiPriority w:val="9"/>
    <w:rPr>
      <w:rFonts w:asciiTheme="majorHAnsi" w:hAnsiTheme="majorHAnsi" w:eastAsiaTheme="majorEastAsia" w:cstheme="majorBidi"/>
      <w:b/>
      <w:bCs/>
      <w:color w:val="4F81BD" w:themeColor="accent1"/>
    </w:rPr>
  </w:style>
  <w:style w:type="character" w:customStyle="1" w:styleId="27">
    <w:name w:val="标题 4 Char"/>
    <w:basedOn w:val="20"/>
    <w:link w:val="6"/>
    <w:qFormat/>
    <w:uiPriority w:val="9"/>
    <w:rPr>
      <w:rFonts w:asciiTheme="majorHAnsi" w:hAnsiTheme="majorHAnsi" w:eastAsiaTheme="majorEastAsia" w:cstheme="majorBidi"/>
      <w:b/>
      <w:bCs/>
      <w:i/>
      <w:iCs/>
      <w:color w:val="4F81BD" w:themeColor="accent1"/>
    </w:rPr>
  </w:style>
  <w:style w:type="character" w:customStyle="1" w:styleId="28">
    <w:name w:val="标题 5 Char"/>
    <w:basedOn w:val="20"/>
    <w:link w:val="7"/>
    <w:qFormat/>
    <w:uiPriority w:val="9"/>
    <w:rPr>
      <w:rFonts w:asciiTheme="majorHAnsi" w:hAnsiTheme="majorHAnsi" w:eastAsiaTheme="majorEastAsia" w:cstheme="majorBidi"/>
      <w:color w:val="243F61" w:themeColor="accent1" w:themeShade="7F"/>
    </w:rPr>
  </w:style>
  <w:style w:type="character" w:customStyle="1" w:styleId="29">
    <w:name w:val="标题 6 Char"/>
    <w:basedOn w:val="20"/>
    <w:link w:val="8"/>
    <w:qFormat/>
    <w:uiPriority w:val="9"/>
    <w:rPr>
      <w:rFonts w:asciiTheme="majorHAnsi" w:hAnsiTheme="majorHAnsi" w:eastAsiaTheme="majorEastAsia" w:cstheme="majorBidi"/>
      <w:i/>
      <w:iCs/>
      <w:color w:val="243F61" w:themeColor="accent1" w:themeShade="7F"/>
    </w:rPr>
  </w:style>
  <w:style w:type="character" w:customStyle="1" w:styleId="30">
    <w:name w:val="标题 7 Char"/>
    <w:basedOn w:val="20"/>
    <w:link w:val="9"/>
    <w:qFormat/>
    <w:uiPriority w:val="9"/>
    <w:rPr>
      <w:rFonts w:asciiTheme="majorHAnsi" w:hAnsiTheme="majorHAnsi" w:eastAsiaTheme="majorEastAsia" w:cstheme="majorBidi"/>
      <w:i/>
      <w:iCs/>
      <w:color w:val="3F3F3F" w:themeColor="text1" w:themeTint="BF"/>
    </w:rPr>
  </w:style>
  <w:style w:type="character" w:customStyle="1" w:styleId="31">
    <w:name w:val="标题 8 Char"/>
    <w:basedOn w:val="20"/>
    <w:link w:val="10"/>
    <w:qFormat/>
    <w:uiPriority w:val="9"/>
    <w:rPr>
      <w:rFonts w:asciiTheme="majorHAnsi" w:hAnsiTheme="majorHAnsi" w:eastAsiaTheme="majorEastAsia" w:cstheme="majorBidi"/>
      <w:color w:val="4F81BD" w:themeColor="accent1"/>
      <w:sz w:val="20"/>
      <w:szCs w:val="20"/>
    </w:rPr>
  </w:style>
  <w:style w:type="character" w:customStyle="1" w:styleId="32">
    <w:name w:val="标题 9 Char"/>
    <w:basedOn w:val="20"/>
    <w:link w:val="11"/>
    <w:qFormat/>
    <w:uiPriority w:val="9"/>
    <w:rPr>
      <w:rFonts w:asciiTheme="majorHAnsi" w:hAnsiTheme="majorHAnsi" w:eastAsiaTheme="majorEastAsia" w:cstheme="majorBidi"/>
      <w:i/>
      <w:iCs/>
      <w:color w:val="3F3F3F" w:themeColor="text1" w:themeTint="BF"/>
      <w:sz w:val="20"/>
      <w:szCs w:val="20"/>
    </w:rPr>
  </w:style>
  <w:style w:type="character" w:customStyle="1" w:styleId="33">
    <w:name w:val="批注框文本 Char"/>
    <w:basedOn w:val="20"/>
    <w:link w:val="13"/>
    <w:semiHidden/>
    <w:qFormat/>
    <w:uiPriority w:val="99"/>
    <w:rPr>
      <w:sz w:val="18"/>
      <w:szCs w:val="18"/>
    </w:rPr>
  </w:style>
  <w:style w:type="character" w:customStyle="1" w:styleId="34">
    <w:name w:val="页脚 Char"/>
    <w:basedOn w:val="20"/>
    <w:link w:val="14"/>
    <w:semiHidden/>
    <w:qFormat/>
    <w:uiPriority w:val="99"/>
    <w:rPr>
      <w:sz w:val="18"/>
      <w:szCs w:val="18"/>
    </w:rPr>
  </w:style>
  <w:style w:type="character" w:customStyle="1" w:styleId="35">
    <w:name w:val="副标题 Char"/>
    <w:basedOn w:val="20"/>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36">
    <w:name w:val="标题 Char"/>
    <w:basedOn w:val="20"/>
    <w:link w:val="17"/>
    <w:qFormat/>
    <w:uiPriority w:val="10"/>
    <w:rPr>
      <w:rFonts w:asciiTheme="majorHAnsi" w:hAnsiTheme="majorHAnsi" w:eastAsiaTheme="majorEastAsia" w:cstheme="majorBidi"/>
      <w:color w:val="17365D" w:themeColor="text2" w:themeShade="BF"/>
      <w:spacing w:val="5"/>
      <w:kern w:val="28"/>
      <w:sz w:val="52"/>
      <w:szCs w:val="52"/>
    </w:rPr>
  </w:style>
  <w:style w:type="paragraph" w:styleId="37">
    <w:name w:val="No Spacing"/>
    <w:qFormat/>
    <w:uiPriority w:val="1"/>
    <w:rPr>
      <w:rFonts w:asciiTheme="minorHAnsi" w:hAnsiTheme="minorHAnsi" w:eastAsiaTheme="minorEastAsia" w:cstheme="minorBidi"/>
      <w:sz w:val="22"/>
      <w:szCs w:val="22"/>
      <w:lang w:val="en-US" w:eastAsia="en-US" w:bidi="en-US"/>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rPr>
  </w:style>
  <w:style w:type="character" w:customStyle="1" w:styleId="40">
    <w:name w:val="引用 Char"/>
    <w:basedOn w:val="20"/>
    <w:link w:val="39"/>
    <w:qFormat/>
    <w:uiPriority w:val="29"/>
    <w:rPr>
      <w:i/>
      <w:iCs/>
      <w:color w:val="000000" w:themeColor="text1"/>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2">
    <w:name w:val="明显引用 Char"/>
    <w:basedOn w:val="20"/>
    <w:link w:val="41"/>
    <w:qFormat/>
    <w:uiPriority w:val="30"/>
    <w:rPr>
      <w:b/>
      <w:bCs/>
      <w:i/>
      <w:iCs/>
      <w:color w:val="4F81BD" w:themeColor="accent1"/>
    </w:rPr>
  </w:style>
  <w:style w:type="character" w:customStyle="1" w:styleId="43">
    <w:name w:val="不明显强调1"/>
    <w:basedOn w:val="20"/>
    <w:qFormat/>
    <w:uiPriority w:val="19"/>
    <w:rPr>
      <w:i/>
      <w:iCs/>
      <w:color w:val="7F7F7F" w:themeColor="text1" w:themeTint="7F"/>
    </w:rPr>
  </w:style>
  <w:style w:type="character" w:customStyle="1" w:styleId="44">
    <w:name w:val="明显强调1"/>
    <w:basedOn w:val="20"/>
    <w:qFormat/>
    <w:uiPriority w:val="21"/>
    <w:rPr>
      <w:b/>
      <w:bCs/>
      <w:i/>
      <w:iCs/>
      <w:color w:val="4F81BD" w:themeColor="accent1"/>
    </w:rPr>
  </w:style>
  <w:style w:type="character" w:customStyle="1" w:styleId="45">
    <w:name w:val="不明显参考1"/>
    <w:basedOn w:val="20"/>
    <w:qFormat/>
    <w:uiPriority w:val="31"/>
    <w:rPr>
      <w:smallCaps/>
      <w:color w:val="C0504D" w:themeColor="accent2"/>
      <w:u w:val="single"/>
    </w:rPr>
  </w:style>
  <w:style w:type="character" w:customStyle="1" w:styleId="46">
    <w:name w:val="明显参考1"/>
    <w:basedOn w:val="20"/>
    <w:qFormat/>
    <w:uiPriority w:val="32"/>
    <w:rPr>
      <w:b/>
      <w:bCs/>
      <w:smallCaps/>
      <w:color w:val="C0504D" w:themeColor="accent2"/>
      <w:spacing w:val="5"/>
      <w:u w:val="single"/>
    </w:rPr>
  </w:style>
  <w:style w:type="character" w:customStyle="1" w:styleId="47">
    <w:name w:val="书籍标题1"/>
    <w:basedOn w:val="20"/>
    <w:qFormat/>
    <w:uiPriority w:val="33"/>
    <w:rPr>
      <w:b/>
      <w:bCs/>
      <w:smallCaps/>
      <w:spacing w:val="5"/>
    </w:rPr>
  </w:style>
  <w:style w:type="paragraph" w:customStyle="1" w:styleId="48">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3FF9D-40BB-4BC8-9707-D1B931A2AE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471</Words>
  <Characters>2687</Characters>
  <Lines>22</Lines>
  <Paragraphs>6</Paragraphs>
  <TotalTime>9</TotalTime>
  <ScaleCrop>false</ScaleCrop>
  <LinksUpToDate>false</LinksUpToDate>
  <CharactersWithSpaces>3152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2022-06-27T01:05:00Z</dcterms:created>
  <dc:creator>admin</dc:creator>
  <cp:lastModifiedBy>孙冰洋</cp:lastModifiedBy>
  <dcterms:modified xsi:type="dcterms:W3CDTF">2022-11-23T01:54:11Z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DEE93C54DCC547C39A6FC5C70B0EB5F5</vt:lpwstr>
  </property>
</Properties>
</file>