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000000" w:themeColor="text1"/>
          <w:spacing w:val="-30"/>
          <w:sz w:val="36"/>
          <w:szCs w:val="36"/>
          <w14:textFill>
            <w14:solidFill>
              <w14:schemeClr w14:val="tx1"/>
            </w14:solidFill>
          </w14:textFill>
        </w:rPr>
      </w:pPr>
      <w:r>
        <w:rPr>
          <w:rFonts w:hint="eastAsia" w:asciiTheme="majorEastAsia" w:hAnsiTheme="majorEastAsia" w:eastAsiaTheme="majorEastAsia"/>
          <w:b/>
          <w:color w:val="000000" w:themeColor="text1"/>
          <w:spacing w:val="-30"/>
          <w:sz w:val="36"/>
          <w:szCs w:val="36"/>
          <w14:textFill>
            <w14:solidFill>
              <w14:schemeClr w14:val="tx1"/>
            </w14:solidFill>
          </w14:textFill>
        </w:rPr>
        <w:t>湖州师范学院生命科学学院虾基因组重测序分析服务采购项目</w:t>
      </w:r>
    </w:p>
    <w:p>
      <w:pPr>
        <w:jc w:val="center"/>
        <w:rPr>
          <w:rFonts w:asciiTheme="majorEastAsia" w:hAnsiTheme="majorEastAsia" w:eastAsiaTheme="majorEastAsia"/>
          <w:b/>
          <w:color w:val="000000" w:themeColor="text1"/>
          <w:sz w:val="36"/>
          <w:szCs w:val="36"/>
          <w14:textFill>
            <w14:solidFill>
              <w14:schemeClr w14:val="tx1"/>
            </w14:solidFill>
          </w14:textFill>
        </w:rPr>
      </w:pPr>
      <w:r>
        <w:rPr>
          <w:rFonts w:hint="eastAsia" w:asciiTheme="majorEastAsia" w:hAnsiTheme="majorEastAsia" w:eastAsiaTheme="majorEastAsia"/>
          <w:b/>
          <w:color w:val="000000" w:themeColor="text1"/>
          <w:sz w:val="36"/>
          <w:szCs w:val="36"/>
          <w14:textFill>
            <w14:solidFill>
              <w14:schemeClr w14:val="tx1"/>
            </w14:solidFill>
          </w14:textFill>
        </w:rPr>
        <w:t>采购文件</w:t>
      </w:r>
    </w:p>
    <w:p>
      <w:pPr>
        <w:ind w:firstLine="472" w:firstLineChars="196"/>
        <w:jc w:val="left"/>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一、采购项目名称及货物清单及要求：</w:t>
      </w:r>
    </w:p>
    <w:p>
      <w:pPr>
        <w:ind w:firstLine="480" w:firstLine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1.项目名称：</w:t>
      </w:r>
      <w:r>
        <w:rPr>
          <w:rFonts w:hint="eastAsia" w:ascii="仿宋" w:hAnsi="仿宋" w:eastAsia="仿宋"/>
          <w:color w:val="000000" w:themeColor="text1"/>
          <w:sz w:val="24"/>
          <w:szCs w:val="24"/>
          <w14:textFill>
            <w14:solidFill>
              <w14:schemeClr w14:val="tx1"/>
            </w14:solidFill>
          </w14:textFill>
        </w:rPr>
        <w:t>湖州师范学院生命科学学院虾基因组重测序分析服务采购项目</w:t>
      </w:r>
    </w:p>
    <w:p>
      <w:pPr>
        <w:ind w:firstLine="480" w:firstLine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2.采购项目编号：</w:t>
      </w:r>
      <w:r>
        <w:rPr>
          <w:rFonts w:hint="eastAsia" w:ascii="仿宋" w:hAnsi="仿宋" w:eastAsia="仿宋"/>
          <w:color w:val="000000" w:themeColor="text1"/>
          <w:sz w:val="24"/>
          <w:szCs w:val="24"/>
          <w14:textFill>
            <w14:solidFill>
              <w14:schemeClr w14:val="tx1"/>
            </w14:solidFill>
          </w14:textFill>
        </w:rPr>
        <w:t>XZ2020-147</w:t>
      </w:r>
    </w:p>
    <w:p>
      <w:pPr>
        <w:ind w:firstLine="480" w:firstLine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3.采购组织类型：分散采购自行组织</w:t>
      </w:r>
    </w:p>
    <w:p>
      <w:pPr>
        <w:ind w:firstLine="480" w:firstLine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4.采购方式：校内</w:t>
      </w:r>
      <w:r>
        <w:rPr>
          <w:rFonts w:hint="eastAsia" w:ascii="仿宋" w:hAnsi="仿宋" w:eastAsia="仿宋"/>
          <w:color w:val="000000" w:themeColor="text1"/>
          <w:sz w:val="24"/>
          <w:szCs w:val="24"/>
          <w14:textFill>
            <w14:solidFill>
              <w14:schemeClr w14:val="tx1"/>
            </w14:solidFill>
          </w14:textFill>
        </w:rPr>
        <w:t>询价</w:t>
      </w:r>
    </w:p>
    <w:p>
      <w:pPr>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5.采购预算：</w:t>
      </w:r>
      <w:r>
        <w:rPr>
          <w:rFonts w:hint="eastAsia" w:ascii="仿宋" w:hAnsi="仿宋" w:eastAsia="仿宋"/>
          <w:sz w:val="24"/>
        </w:rPr>
        <w:t>人民币贰拾玖万陆仟零捌拾陆元整（￥296086.00元）</w:t>
      </w:r>
    </w:p>
    <w:p>
      <w:pPr>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6.采购需求及</w:t>
      </w:r>
      <w:r>
        <w:rPr>
          <w:rFonts w:hint="eastAsia" w:ascii="仿宋" w:hAnsi="仿宋" w:eastAsia="仿宋"/>
          <w:color w:val="000000" w:themeColor="text1"/>
          <w:sz w:val="24"/>
          <w14:textFill>
            <w14:solidFill>
              <w14:schemeClr w14:val="tx1"/>
            </w14:solidFill>
          </w14:textFill>
        </w:rPr>
        <w:t>采购清单：</w:t>
      </w:r>
    </w:p>
    <w:tbl>
      <w:tblPr>
        <w:tblStyle w:val="9"/>
        <w:tblW w:w="9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16"/>
        <w:gridCol w:w="1184"/>
        <w:gridCol w:w="7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6" w:type="dxa"/>
            <w:vAlign w:val="center"/>
          </w:tcPr>
          <w:p>
            <w:pPr>
              <w:jc w:val="center"/>
              <w:rPr>
                <w:rFonts w:ascii="仿宋" w:hAnsi="仿宋" w:eastAsia="仿宋"/>
                <w:b/>
                <w:sz w:val="24"/>
              </w:rPr>
            </w:pPr>
            <w:r>
              <w:rPr>
                <w:rFonts w:hint="eastAsia" w:ascii="仿宋" w:hAnsi="仿宋" w:eastAsia="仿宋"/>
                <w:b/>
                <w:sz w:val="24"/>
              </w:rPr>
              <w:t>项目名称</w:t>
            </w:r>
          </w:p>
        </w:tc>
        <w:tc>
          <w:tcPr>
            <w:tcW w:w="1184" w:type="dxa"/>
            <w:vAlign w:val="center"/>
          </w:tcPr>
          <w:p>
            <w:pPr>
              <w:jc w:val="center"/>
              <w:rPr>
                <w:rFonts w:ascii="仿宋" w:hAnsi="仿宋" w:eastAsia="仿宋"/>
                <w:b/>
                <w:sz w:val="24"/>
              </w:rPr>
            </w:pPr>
            <w:r>
              <w:rPr>
                <w:rFonts w:hint="eastAsia" w:ascii="仿宋" w:hAnsi="仿宋" w:eastAsia="仿宋"/>
                <w:b/>
                <w:sz w:val="24"/>
              </w:rPr>
              <w:t>采购数量</w:t>
            </w:r>
          </w:p>
        </w:tc>
        <w:tc>
          <w:tcPr>
            <w:tcW w:w="7048" w:type="dxa"/>
            <w:vAlign w:val="center"/>
          </w:tcPr>
          <w:p>
            <w:pPr>
              <w:jc w:val="center"/>
              <w:rPr>
                <w:rFonts w:ascii="仿宋" w:hAnsi="仿宋" w:eastAsia="仿宋"/>
                <w:b/>
                <w:sz w:val="24"/>
              </w:rPr>
            </w:pPr>
            <w:r>
              <w:rPr>
                <w:rFonts w:hint="eastAsia" w:ascii="仿宋" w:hAnsi="仿宋" w:eastAsia="仿宋"/>
                <w:b/>
                <w:sz w:val="24"/>
              </w:rPr>
              <w:t>具体采购需求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6" w:type="dxa"/>
            <w:vAlign w:val="center"/>
          </w:tcPr>
          <w:p>
            <w:pPr>
              <w:jc w:val="center"/>
              <w:rPr>
                <w:rFonts w:ascii="仿宋" w:hAnsi="仿宋" w:eastAsia="仿宋"/>
                <w:sz w:val="24"/>
              </w:rPr>
            </w:pPr>
            <w:r>
              <w:rPr>
                <w:rFonts w:hint="eastAsia" w:ascii="仿宋" w:hAnsi="仿宋" w:eastAsia="仿宋"/>
                <w:sz w:val="24"/>
                <w:szCs w:val="24"/>
              </w:rPr>
              <w:t>湖州师范学院生命科学学院虾基因组重测序分析服务采购项目</w:t>
            </w:r>
          </w:p>
        </w:tc>
        <w:tc>
          <w:tcPr>
            <w:tcW w:w="1184" w:type="dxa"/>
            <w:vAlign w:val="center"/>
          </w:tcPr>
          <w:p>
            <w:pPr>
              <w:jc w:val="center"/>
              <w:rPr>
                <w:rFonts w:ascii="仿宋" w:hAnsi="仿宋" w:eastAsia="仿宋"/>
                <w:sz w:val="24"/>
              </w:rPr>
            </w:pPr>
            <w:r>
              <w:rPr>
                <w:rFonts w:hint="eastAsia" w:ascii="仿宋" w:hAnsi="仿宋" w:eastAsia="仿宋"/>
                <w:b/>
                <w:bCs/>
                <w:sz w:val="24"/>
                <w:szCs w:val="24"/>
              </w:rPr>
              <w:t>1项</w:t>
            </w:r>
          </w:p>
        </w:tc>
        <w:tc>
          <w:tcPr>
            <w:tcW w:w="7048" w:type="dxa"/>
            <w:vAlign w:val="center"/>
          </w:tcPr>
          <w:p>
            <w:pPr>
              <w:rPr>
                <w:rFonts w:ascii="仿宋" w:hAnsi="仿宋" w:eastAsia="仿宋"/>
                <w:sz w:val="24"/>
              </w:rPr>
            </w:pPr>
            <w:r>
              <w:rPr>
                <w:rFonts w:hint="eastAsia" w:ascii="仿宋" w:hAnsi="仿宋" w:eastAsia="仿宋"/>
                <w:sz w:val="24"/>
              </w:rPr>
              <w:t>完成400个虾基因组建库与重测序。构建Illumina二代基因组文库400个，基于Novaseq测序平台，采用PE150策略，完成不低于6246G的二代数据测序；其中393个样品测定15G raw data，6个样品测定45G raw data，1个样品测定81G raw data。</w:t>
            </w:r>
          </w:p>
          <w:p>
            <w:pPr>
              <w:rPr>
                <w:rFonts w:ascii="仿宋" w:hAnsi="仿宋" w:eastAsia="仿宋"/>
                <w:sz w:val="24"/>
              </w:rPr>
            </w:pPr>
            <w:r>
              <w:rPr>
                <w:rFonts w:hint="eastAsia" w:ascii="仿宋" w:hAnsi="仿宋" w:eastAsia="仿宋"/>
                <w:b/>
                <w:bCs/>
                <w:sz w:val="24"/>
              </w:rPr>
              <w:t>详细技术要求见附件1</w:t>
            </w:r>
          </w:p>
        </w:tc>
      </w:tr>
    </w:tbl>
    <w:p>
      <w:pPr>
        <w:adjustRightInd w:val="0"/>
        <w:snapToGrid w:val="0"/>
        <w:ind w:firstLine="472" w:firstLineChars="196"/>
        <w:jc w:val="left"/>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注1：</w:t>
      </w:r>
      <w:r>
        <w:rPr>
          <w:rFonts w:hint="eastAsia" w:ascii="仿宋" w:hAnsi="仿宋" w:eastAsia="仿宋" w:cs="Times New Roman"/>
          <w:color w:val="000000" w:themeColor="text1"/>
          <w:sz w:val="24"/>
          <w:szCs w:val="24"/>
          <w14:textFill>
            <w14:solidFill>
              <w14:schemeClr w14:val="tx1"/>
            </w14:solidFill>
          </w14:textFill>
        </w:rPr>
        <w:t>▲</w:t>
      </w:r>
      <w:r>
        <w:rPr>
          <w:rFonts w:hint="eastAsia" w:ascii="仿宋" w:hAnsi="仿宋" w:eastAsia="仿宋" w:cs="Times New Roman"/>
          <w:b/>
          <w:color w:val="000000" w:themeColor="text1"/>
          <w:sz w:val="24"/>
          <w:szCs w:val="24"/>
          <w14:textFill>
            <w14:solidFill>
              <w14:schemeClr w14:val="tx1"/>
            </w14:solidFill>
          </w14:textFill>
        </w:rPr>
        <w:t>采购预算为最高限价，投标人报价超出采购预算为无效报价。▲技术参数为不可偏离指标，负偏离作无效标处理。</w:t>
      </w:r>
    </w:p>
    <w:p>
      <w:pPr>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注2：</w:t>
      </w:r>
      <w:r>
        <w:rPr>
          <w:rFonts w:hint="eastAsia" w:ascii="仿宋" w:hAnsi="仿宋" w:eastAsia="仿宋"/>
          <w:b/>
          <w:color w:val="000000" w:themeColor="text1"/>
          <w:sz w:val="24"/>
          <w:szCs w:val="24"/>
          <w14:textFill>
            <w14:solidFill>
              <w14:schemeClr w14:val="tx1"/>
            </w14:solidFill>
          </w14:textFill>
        </w:rPr>
        <w:t>本项目采购预算合包含税金、服务、咨询、运输、报告费及售后服务等一切费用。</w:t>
      </w:r>
    </w:p>
    <w:p>
      <w:pPr>
        <w:adjustRightInd w:val="0"/>
        <w:snapToGrid w:val="0"/>
        <w:ind w:firstLine="482" w:firstLineChars="200"/>
        <w:jc w:val="left"/>
        <w:rPr>
          <w:rFonts w:ascii="仿宋" w:hAnsi="仿宋" w:eastAsia="仿宋"/>
          <w:b/>
          <w:sz w:val="24"/>
          <w:szCs w:val="24"/>
        </w:rPr>
      </w:pPr>
      <w:r>
        <w:rPr>
          <w:rFonts w:hint="eastAsia" w:ascii="仿宋" w:hAnsi="仿宋" w:eastAsia="仿宋"/>
          <w:b/>
          <w:sz w:val="24"/>
          <w:szCs w:val="24"/>
        </w:rPr>
        <w:t>注3：如需项目安装施工的，相关工人必须按照国家相关规定持证上岗，如因无证上岗引起的安全事故由中标人承担全部法律责任。</w:t>
      </w:r>
    </w:p>
    <w:p>
      <w:pPr>
        <w:adjustRightInd w:val="0"/>
        <w:snapToGrid w:val="0"/>
        <w:ind w:firstLine="472" w:firstLineChars="196"/>
        <w:jc w:val="left"/>
        <w:rPr>
          <w:rFonts w:ascii="仿宋" w:hAnsi="仿宋" w:eastAsia="仿宋"/>
          <w:b/>
          <w:sz w:val="24"/>
          <w:szCs w:val="24"/>
        </w:rPr>
      </w:pPr>
      <w:r>
        <w:rPr>
          <w:rFonts w:hint="eastAsia" w:ascii="仿宋" w:hAnsi="仿宋" w:eastAsia="仿宋"/>
          <w:b/>
          <w:sz w:val="24"/>
          <w:szCs w:val="24"/>
        </w:rPr>
        <w:t>二、投标文件要求</w:t>
      </w:r>
    </w:p>
    <w:p>
      <w:pPr>
        <w:adjustRightInd w:val="0"/>
        <w:snapToGrid w:val="0"/>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投标人的投标文件中应包含以下内容</w:t>
      </w:r>
      <w:r>
        <w:rPr>
          <w:rFonts w:hint="eastAsia" w:ascii="仿宋" w:hAnsi="仿宋" w:eastAsia="仿宋"/>
          <w:color w:val="000000" w:themeColor="text1"/>
          <w:sz w:val="24"/>
          <w14:textFill>
            <w14:solidFill>
              <w14:schemeClr w14:val="tx1"/>
            </w14:solidFill>
          </w14:textFill>
        </w:rPr>
        <w:t>（投标文件密封，一式两份，一正一副，胶装成册。所有证件均须真实、有效，复印件均须加盖公章，缺少以下任意一项内容即作无效标处理）</w:t>
      </w:r>
      <w:r>
        <w:rPr>
          <w:rFonts w:hint="eastAsia" w:ascii="仿宋" w:hAnsi="仿宋" w:eastAsia="仿宋"/>
          <w:color w:val="000000" w:themeColor="text1"/>
          <w:sz w:val="24"/>
          <w:szCs w:val="24"/>
          <w14:textFill>
            <w14:solidFill>
              <w14:schemeClr w14:val="tx1"/>
            </w14:solidFill>
          </w14:textFill>
        </w:rPr>
        <w:t>：</w:t>
      </w:r>
    </w:p>
    <w:p>
      <w:pPr>
        <w:numPr>
          <w:ilvl w:val="0"/>
          <w:numId w:val="1"/>
        </w:numPr>
        <w:adjustRightInd w:val="0"/>
        <w:snapToGrid w:val="0"/>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投标报价清单(含货物、运输、安装、辅材、人工、调试、验收、安全、保险、税金等所涉及本项目的一切费用。投标报价高于采购预算的，则该报价为无效报价。报价以人民币计，并以大写为准)。见附件2</w:t>
      </w:r>
    </w:p>
    <w:p>
      <w:pPr>
        <w:adjustRightInd w:val="0"/>
        <w:snapToGrid w:val="0"/>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2.有效的营业执照副本复印件；</w:t>
      </w:r>
    </w:p>
    <w:p>
      <w:pPr>
        <w:adjustRightInd w:val="0"/>
        <w:snapToGrid w:val="0"/>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hint="eastAsia" w:ascii="仿宋" w:hAnsi="仿宋" w:eastAsia="仿宋" w:cs="仿宋_GB2312"/>
          <w:color w:val="000000" w:themeColor="text1"/>
          <w:sz w:val="24"/>
          <w14:textFill>
            <w14:solidFill>
              <w14:schemeClr w14:val="tx1"/>
            </w14:solidFill>
          </w14:textFill>
        </w:rPr>
        <w:t>投标人开户银行、户名、账号；</w:t>
      </w:r>
    </w:p>
    <w:p>
      <w:pPr>
        <w:adjustRightInd w:val="0"/>
        <w:snapToGrid w:val="0"/>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投标代表身份证复印件；如非法定代表人投标，另提供法定代表人授权委托书原件、法定代表人身份证复印件；</w:t>
      </w:r>
    </w:p>
    <w:p>
      <w:pPr>
        <w:adjustRightInd w:val="0"/>
        <w:snapToGrid w:val="0"/>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投标产品技术参数响应表（根据采购文件采购清单内容制作；投标产品必须注明品牌型号；同时应注明：不偏离、正偏离、负偏离）；</w:t>
      </w:r>
    </w:p>
    <w:p>
      <w:pPr>
        <w:adjustRightInd w:val="0"/>
        <w:snapToGrid w:val="0"/>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6.其他相关证明材料</w:t>
      </w:r>
      <w:r>
        <w:rPr>
          <w:rFonts w:hint="eastAsia" w:ascii="仿宋" w:hAnsi="仿宋" w:eastAsia="仿宋" w:cs="仿宋_GB2312"/>
          <w:color w:val="000000" w:themeColor="text1"/>
          <w:sz w:val="24"/>
          <w14:textFill>
            <w14:solidFill>
              <w14:schemeClr w14:val="tx1"/>
            </w14:solidFill>
          </w14:textFill>
        </w:rPr>
        <w:t>（如:</w:t>
      </w:r>
      <w:r>
        <w:rPr>
          <w:rFonts w:hint="eastAsia" w:ascii="仿宋" w:hAnsi="仿宋" w:eastAsia="仿宋"/>
          <w:color w:val="000000" w:themeColor="text1"/>
          <w:sz w:val="24"/>
          <w14:textFill>
            <w14:solidFill>
              <w14:schemeClr w14:val="tx1"/>
            </w14:solidFill>
          </w14:textFill>
        </w:rPr>
        <w:t>采购文件要求提供</w:t>
      </w:r>
      <w:r>
        <w:rPr>
          <w:rFonts w:hint="eastAsia" w:ascii="仿宋" w:hAnsi="仿宋" w:eastAsia="仿宋" w:cs="仿宋_GB2312"/>
          <w:color w:val="000000" w:themeColor="text1"/>
          <w:sz w:val="24"/>
          <w14:textFill>
            <w14:solidFill>
              <w14:schemeClr w14:val="tx1"/>
            </w14:solidFill>
          </w14:textFill>
        </w:rPr>
        <w:t>的证明材料、投标人认为需要提交的材料等）；</w:t>
      </w:r>
    </w:p>
    <w:p>
      <w:pPr>
        <w:adjustRightInd w:val="0"/>
        <w:snapToGrid w:val="0"/>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r>
        <w:rPr>
          <w:rFonts w:hint="eastAsia" w:ascii="仿宋" w:hAnsi="仿宋" w:eastAsia="仿宋"/>
          <w:color w:val="000000" w:themeColor="text1"/>
          <w:sz w:val="24"/>
          <w14:textFill>
            <w14:solidFill>
              <w14:schemeClr w14:val="tx1"/>
            </w14:solidFill>
          </w14:textFill>
        </w:rPr>
        <w:t>提供自采购公告发布之日起至开标截止时间止的“信用中国”网站（www.creditchina.gov.cn）、中国政府采购网（www.ccgp.gov.cn）、</w:t>
      </w:r>
      <w:r>
        <w:rPr>
          <w:rFonts w:hint="eastAsia" w:ascii="仿宋" w:hAnsi="仿宋" w:eastAsia="仿宋" w:cs="仿宋_GB2312"/>
          <w:color w:val="000000" w:themeColor="text1"/>
          <w:sz w:val="24"/>
          <w14:textFill>
            <w14:solidFill>
              <w14:schemeClr w14:val="tx1"/>
            </w14:solidFill>
          </w14:textFill>
        </w:rPr>
        <w:t>“浙江政府采购网”（www.zjzfcg.gov.cn）</w:t>
      </w:r>
      <w:r>
        <w:rPr>
          <w:rFonts w:hint="eastAsia" w:ascii="仿宋" w:hAnsi="仿宋" w:eastAsia="仿宋"/>
          <w:color w:val="000000" w:themeColor="text1"/>
          <w:sz w:val="24"/>
          <w14:textFill>
            <w14:solidFill>
              <w14:schemeClr w14:val="tx1"/>
            </w14:solidFill>
          </w14:textFill>
        </w:rPr>
        <w:t>投标人信用查询网页截图（以开标当日采购人核实的查询结果为准）。（提供任何2个查询网页截图即可）；</w:t>
      </w:r>
    </w:p>
    <w:p>
      <w:pPr>
        <w:adjustRightInd w:val="0"/>
        <w:snapToGrid w:val="0"/>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8.提供投标人未在行政处罚期内和未被列入经营异常名录的查询网页截图（国家企业信用信息公示系统：</w:t>
      </w:r>
      <w:r>
        <w:rPr>
          <w:rFonts w:hint="eastAsia" w:ascii="仿宋" w:hAnsi="仿宋" w:eastAsia="仿宋" w:cs="仿宋_GB2312"/>
          <w:color w:val="000000" w:themeColor="text1"/>
          <w:sz w:val="24"/>
          <w14:textFill>
            <w14:solidFill>
              <w14:schemeClr w14:val="tx1"/>
            </w14:solidFill>
          </w14:textFill>
        </w:rPr>
        <w:t>www.gsxt.gov.cn</w:t>
      </w:r>
      <w:r>
        <w:rPr>
          <w:rFonts w:hint="eastAsia" w:ascii="仿宋" w:hAnsi="仿宋" w:eastAsia="仿宋"/>
          <w:color w:val="000000" w:themeColor="text1"/>
          <w:sz w:val="24"/>
          <w14:textFill>
            <w14:solidFill>
              <w14:schemeClr w14:val="tx1"/>
            </w14:solidFill>
          </w14:textFill>
        </w:rPr>
        <w:t>）。</w:t>
      </w:r>
    </w:p>
    <w:p>
      <w:pPr>
        <w:adjustRightInd w:val="0"/>
        <w:snapToGrid w:val="0"/>
        <w:ind w:firstLine="472" w:firstLineChars="196"/>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三、投标文件递交及开标时间、地点</w:t>
      </w:r>
    </w:p>
    <w:p>
      <w:pPr>
        <w:adjustRightInd w:val="0"/>
        <w:snapToGrid w:val="0"/>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1.开标时间：2020年11月23日下午14：30（投标人无需派代表出席开标会议）；</w:t>
      </w:r>
    </w:p>
    <w:p>
      <w:pPr>
        <w:adjustRightInd w:val="0"/>
        <w:snapToGrid w:val="0"/>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2.开标地点：湖州市二环东路759号湖州师范学院东校区明达楼202室；</w:t>
      </w:r>
    </w:p>
    <w:p>
      <w:pPr>
        <w:adjustRightInd w:val="0"/>
        <w:snapToGrid w:val="0"/>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3.联系人：董老师；</w:t>
      </w:r>
    </w:p>
    <w:p>
      <w:pPr>
        <w:adjustRightInd w:val="0"/>
        <w:snapToGrid w:val="0"/>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4.电话：0572-2321093。</w:t>
      </w:r>
    </w:p>
    <w:p>
      <w:pPr>
        <w:adjustRightInd w:val="0"/>
        <w:snapToGrid w:val="0"/>
        <w:ind w:firstLine="472" w:firstLineChars="196"/>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四、中标办法</w:t>
      </w:r>
    </w:p>
    <w:p>
      <w:pPr>
        <w:adjustRightInd w:val="0"/>
        <w:snapToGrid w:val="0"/>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本项目根据采购人采购文件要求和投标人投标文件承诺及报价确定拟中标人。在投标人投标文件完全满足采购人采购文件要求的前提下，按照最低价优先法确定拟中标人。</w:t>
      </w:r>
      <w:r>
        <w:rPr>
          <w:rFonts w:hint="eastAsia" w:ascii="仿宋" w:hAnsi="仿宋" w:eastAsia="仿宋"/>
          <w:color w:val="000000" w:themeColor="text1"/>
          <w:sz w:val="24"/>
          <w:szCs w:val="24"/>
          <w14:textFill>
            <w14:solidFill>
              <w14:schemeClr w14:val="tx1"/>
            </w14:solidFill>
          </w14:textFill>
        </w:rPr>
        <w:t>中标结果需经公示确认。</w:t>
      </w:r>
    </w:p>
    <w:p>
      <w:pPr>
        <w:adjustRightInd w:val="0"/>
        <w:snapToGrid w:val="0"/>
        <w:ind w:firstLine="472" w:firstLineChars="196"/>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五、履约保证金</w:t>
      </w:r>
    </w:p>
    <w:p>
      <w:pPr>
        <w:adjustRightInd w:val="0"/>
        <w:snapToGrid w:val="0"/>
        <w:ind w:firstLine="480" w:firstLineChars="200"/>
        <w:contextualSpacing/>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14:textFill>
            <w14:solidFill>
              <w14:schemeClr w14:val="tx1"/>
            </w14:solidFill>
          </w14:textFill>
        </w:rPr>
        <w:t>本项目的履约保证金为合同价的5%；履约保证金形式为：现金或银行、保险公司出具的保函；中标人应根据采购人要求汇入采购人指定账号或提供保函。合同履约完毕，</w:t>
      </w:r>
      <w:r>
        <w:rPr>
          <w:rFonts w:hint="eastAsia" w:ascii="仿宋" w:hAnsi="仿宋" w:eastAsia="仿宋"/>
          <w:color w:val="000000" w:themeColor="text1"/>
          <w:sz w:val="24"/>
          <w14:textFill>
            <w14:solidFill>
              <w14:schemeClr w14:val="tx1"/>
            </w14:solidFill>
          </w14:textFill>
        </w:rPr>
        <w:t>履约保证金无息退还。</w:t>
      </w:r>
      <w:r>
        <w:rPr>
          <w:rFonts w:hint="eastAsia" w:ascii="仿宋" w:hAnsi="仿宋" w:eastAsia="仿宋"/>
          <w:color w:val="000000" w:themeColor="text1"/>
          <w:sz w:val="24"/>
          <w:szCs w:val="24"/>
          <w14:textFill>
            <w14:solidFill>
              <w14:schemeClr w14:val="tx1"/>
            </w14:solidFill>
          </w14:textFill>
        </w:rPr>
        <w:t>采购人</w:t>
      </w:r>
      <w:r>
        <w:rPr>
          <w:rFonts w:ascii="仿宋" w:hAnsi="仿宋" w:eastAsia="仿宋"/>
          <w:color w:val="000000" w:themeColor="text1"/>
          <w:sz w:val="24"/>
          <w:szCs w:val="24"/>
          <w14:textFill>
            <w14:solidFill>
              <w14:schemeClr w14:val="tx1"/>
            </w14:solidFill>
          </w14:textFill>
        </w:rPr>
        <w:t>单位名称：湖州师范学院</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开户行：建行吴兴支行</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账号</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33001649335050002860</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统一社会信用代码：123305004711725032</w:t>
      </w:r>
      <w:r>
        <w:rPr>
          <w:rFonts w:hint="eastAsia" w:ascii="仿宋" w:hAnsi="仿宋" w:eastAsia="仿宋"/>
          <w:color w:val="000000" w:themeColor="text1"/>
          <w:sz w:val="24"/>
          <w:szCs w:val="24"/>
          <w14:textFill>
            <w14:solidFill>
              <w14:schemeClr w14:val="tx1"/>
            </w14:solidFill>
          </w14:textFill>
        </w:rPr>
        <w:t>。地址、电话：湖州市二环东路759号，0572-2321567。</w:t>
      </w:r>
    </w:p>
    <w:p>
      <w:pPr>
        <w:adjustRightInd w:val="0"/>
        <w:snapToGrid w:val="0"/>
        <w:ind w:firstLine="472" w:firstLineChars="196"/>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六、付款方式</w:t>
      </w:r>
    </w:p>
    <w:p>
      <w:pPr>
        <w:adjustRightInd w:val="0"/>
        <w:snapToGrid w:val="0"/>
        <w:ind w:firstLine="470" w:firstLineChars="196"/>
        <w:jc w:val="left"/>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在疫情期间，根据浙江省财政厅《关于坚决打赢疫情防控阻击战进一步做好政府采购资金</w:t>
      </w:r>
      <w:r>
        <w:rPr>
          <w:rFonts w:hint="eastAsia" w:ascii="仿宋" w:hAnsi="仿宋" w:eastAsia="仿宋" w:cs="仿宋"/>
          <w:sz w:val="24"/>
        </w:rPr>
        <w:t>支持企业发展工作的通知》（浙财采监﹝2020﹞3号）要求,制订以下付款方式:</w:t>
      </w:r>
    </w:p>
    <w:p>
      <w:pPr>
        <w:ind w:firstLine="480" w:firstLineChars="200"/>
        <w:rPr>
          <w:rFonts w:ascii="仿宋" w:hAnsi="仿宋" w:eastAsia="仿宋"/>
          <w:sz w:val="24"/>
        </w:rPr>
      </w:pPr>
      <w:r>
        <w:rPr>
          <w:rFonts w:hint="eastAsia" w:ascii="仿宋" w:hAnsi="仿宋" w:eastAsia="仿宋"/>
          <w:sz w:val="24"/>
        </w:rPr>
        <w:t>（1）货款预付：签订合同后，采购人可以按照合同金额的10％支付预付款给中标人，但中标人需提交银行、保险公司等金融机构出具的预付款保函或其他担保措施；如中标人不提交预付款保函或其他担保措施，采购人不予支付预付款。</w:t>
      </w:r>
    </w:p>
    <w:p>
      <w:pPr>
        <w:ind w:firstLine="480" w:firstLineChars="200"/>
        <w:rPr>
          <w:rFonts w:ascii="仿宋" w:hAnsi="仿宋" w:eastAsia="仿宋"/>
          <w:sz w:val="24"/>
        </w:rPr>
      </w:pPr>
      <w:r>
        <w:rPr>
          <w:rFonts w:hint="eastAsia" w:ascii="仿宋" w:hAnsi="仿宋" w:eastAsia="仿宋"/>
          <w:sz w:val="24"/>
        </w:rPr>
        <w:t>（2）货款支付：项目经采购人验收合格后，以年度为单位，按实际工作量，据实结算。中标人开具发票，一次性全额支付货款。</w:t>
      </w:r>
    </w:p>
    <w:p>
      <w:pPr>
        <w:adjustRightInd w:val="0"/>
        <w:snapToGrid w:val="0"/>
        <w:ind w:firstLine="472" w:firstLineChars="196"/>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七、交货时间及地点</w:t>
      </w:r>
    </w:p>
    <w:p>
      <w:pPr>
        <w:adjustRightInd w:val="0"/>
        <w:snapToGrid w:val="0"/>
        <w:ind w:firstLine="482" w:firstLineChars="200"/>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交货时间：</w:t>
      </w:r>
      <w:r>
        <w:rPr>
          <w:rFonts w:hint="eastAsia" w:ascii="仿宋" w:hAnsi="仿宋" w:eastAsia="仿宋"/>
          <w:b/>
          <w:color w:val="000000" w:themeColor="text1"/>
          <w:sz w:val="24"/>
          <w:highlight w:val="none"/>
          <w14:textFill>
            <w14:solidFill>
              <w14:schemeClr w14:val="tx1"/>
            </w14:solidFill>
          </w14:textFill>
        </w:rPr>
        <w:t>2020年12月20日前完成，</w:t>
      </w:r>
      <w:r>
        <w:rPr>
          <w:rFonts w:hint="eastAsia" w:ascii="仿宋" w:hAnsi="仿宋" w:eastAsia="仿宋"/>
          <w:b/>
          <w:color w:val="000000" w:themeColor="text1"/>
          <w:sz w:val="24"/>
          <w14:textFill>
            <w14:solidFill>
              <w14:schemeClr w14:val="tx1"/>
            </w14:solidFill>
          </w14:textFill>
        </w:rPr>
        <w:t>并通过验收。逾期没收履约保证金，采购人有权单方面解除合同。</w:t>
      </w:r>
      <w:bookmarkStart w:id="0" w:name="_GoBack"/>
      <w:bookmarkEnd w:id="0"/>
    </w:p>
    <w:p>
      <w:pPr>
        <w:adjustRightInd w:val="0"/>
        <w:snapToGrid w:val="0"/>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交货地点：湖州师范学院采购人指定地点。</w:t>
      </w:r>
    </w:p>
    <w:p>
      <w:pPr>
        <w:adjustRightInd w:val="0"/>
        <w:snapToGrid w:val="0"/>
        <w:ind w:firstLine="472" w:firstLineChars="196"/>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八、质保期</w:t>
      </w:r>
    </w:p>
    <w:p>
      <w:pPr>
        <w:adjustRightInd w:val="0"/>
        <w:snapToGrid w:val="0"/>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b/>
          <w:color w:val="auto"/>
          <w:sz w:val="24"/>
          <w:szCs w:val="24"/>
        </w:rPr>
        <w:t>质保期：1年，自验收合格之日起计算。</w:t>
      </w:r>
      <w:r>
        <w:rPr>
          <w:rFonts w:hint="eastAsia" w:ascii="仿宋" w:hAnsi="仿宋" w:eastAsia="仿宋"/>
          <w:color w:val="000000" w:themeColor="text1"/>
          <w:sz w:val="24"/>
          <w14:textFill>
            <w14:solidFill>
              <w14:schemeClr w14:val="tx1"/>
            </w14:solidFill>
          </w14:textFill>
        </w:rPr>
        <w:t>质保期内出现质量问题，中标人应在48小时内完成免费维修或更换。</w:t>
      </w:r>
    </w:p>
    <w:p>
      <w:pPr>
        <w:adjustRightInd w:val="0"/>
        <w:snapToGrid w:val="0"/>
        <w:ind w:firstLine="472" w:firstLineChars="196"/>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九、产品质量保证</w:t>
      </w:r>
    </w:p>
    <w:p>
      <w:pPr>
        <w:adjustRightInd w:val="0"/>
        <w:snapToGrid w:val="0"/>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adjustRightInd w:val="0"/>
        <w:snapToGrid w:val="0"/>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中标人提供的产品如不符合采购文件要求和合同规定，采购人有权无条件退货，由中标人承担全部责任。</w:t>
      </w:r>
    </w:p>
    <w:p>
      <w:pPr>
        <w:adjustRightInd w:val="0"/>
        <w:snapToGrid w:val="0"/>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附件一：技术服务要求。</w:t>
      </w:r>
    </w:p>
    <w:p>
      <w:pPr>
        <w:adjustRightInd w:val="0"/>
        <w:snapToGrid w:val="0"/>
        <w:ind w:firstLine="472" w:firstLineChars="196"/>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附件二：</w:t>
      </w:r>
      <w:r>
        <w:rPr>
          <w:rFonts w:ascii="仿宋" w:hAnsi="仿宋" w:eastAsia="仿宋"/>
          <w:b/>
          <w:color w:val="000000" w:themeColor="text1"/>
          <w:sz w:val="24"/>
          <w14:textFill>
            <w14:solidFill>
              <w14:schemeClr w14:val="tx1"/>
            </w14:solidFill>
          </w14:textFill>
        </w:rPr>
        <w:t>投标报价</w:t>
      </w:r>
      <w:r>
        <w:rPr>
          <w:rFonts w:hint="eastAsia" w:ascii="仿宋" w:hAnsi="仿宋" w:eastAsia="仿宋"/>
          <w:b/>
          <w:color w:val="000000" w:themeColor="text1"/>
          <w:sz w:val="24"/>
          <w14:textFill>
            <w14:solidFill>
              <w14:schemeClr w14:val="tx1"/>
            </w14:solidFill>
          </w14:textFill>
        </w:rPr>
        <w:t>清单。</w:t>
      </w:r>
    </w:p>
    <w:p>
      <w:pPr>
        <w:ind w:right="480" w:firstLine="4819" w:firstLineChars="20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 xml:space="preserve">湖州师范学院采购管理中心 </w:t>
      </w:r>
    </w:p>
    <w:p>
      <w:pPr>
        <w:ind w:right="480" w:firstLine="5180" w:firstLineChars="21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2020年11月16日</w:t>
      </w:r>
    </w:p>
    <w:p>
      <w:pPr>
        <w:pStyle w:val="3"/>
        <w:snapToGrid w:val="0"/>
        <w:spacing w:beforeLines="0" w:afterLines="0" w:line="240" w:lineRule="auto"/>
        <w:jc w:val="left"/>
        <w:rPr>
          <w:rFonts w:ascii="黑体" w:hAnsi="黑体" w:eastAsia="黑体"/>
          <w:b/>
          <w:bCs/>
          <w:color w:val="000000" w:themeColor="text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附件1：</w:t>
      </w:r>
      <w:r>
        <w:rPr>
          <w:rFonts w:hint="eastAsia" w:ascii="仿宋" w:hAnsi="仿宋" w:eastAsia="仿宋"/>
          <w:b/>
          <w:color w:val="000000" w:themeColor="text1"/>
          <w14:textFill>
            <w14:solidFill>
              <w14:schemeClr w14:val="tx1"/>
            </w14:solidFill>
          </w14:textFill>
        </w:rPr>
        <w:t>技术服务要求</w:t>
      </w:r>
    </w:p>
    <w:p>
      <w:pPr>
        <w:adjustRightInd w:val="0"/>
        <w:snapToGrid w:val="0"/>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1．样本提取和质量检测</w:t>
      </w:r>
    </w:p>
    <w:p>
      <w:pPr>
        <w:adjustRightInd w:val="0"/>
        <w:snapToGrid w:val="0"/>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根据测序物种选取适用方法对样本进行DNA提取并对DNA样品进行检测：</w:t>
      </w:r>
    </w:p>
    <w:p>
      <w:pPr>
        <w:adjustRightInd w:val="0"/>
        <w:snapToGrid w:val="0"/>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（1）琼脂糖凝胶电泳：进行初步检测分析DNA降解程度及是否存在污染；</w:t>
      </w:r>
    </w:p>
    <w:p>
      <w:pPr>
        <w:adjustRightInd w:val="0"/>
        <w:snapToGrid w:val="0"/>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（2）Qubit 2.0：DNA浓度精确定量。</w:t>
      </w:r>
    </w:p>
    <w:p>
      <w:pPr>
        <w:adjustRightInd w:val="0"/>
        <w:snapToGrid w:val="0"/>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（3）DNA样本质量检测合格标准：总量充足，条带清晰，无RNA污染，无蛋白污染。</w:t>
      </w:r>
    </w:p>
    <w:p>
      <w:pPr>
        <w:adjustRightInd w:val="0"/>
        <w:snapToGrid w:val="0"/>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2．DNA文库构建</w:t>
      </w:r>
    </w:p>
    <w:p>
      <w:pPr>
        <w:adjustRightInd w:val="0"/>
        <w:snapToGrid w:val="0"/>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（1）针对检测合格后的DNA样品，完成全基因组重测序（WGS）文库的构建，且所有样品均分别建库。</w:t>
      </w:r>
    </w:p>
    <w:p>
      <w:pPr>
        <w:adjustRightInd w:val="0"/>
        <w:snapToGrid w:val="0"/>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（2）采用严格的文库质控，保证文库质量。文库构建完成后，先使用Qubit3.0进行初步定量，稀释文库至1.5~3ng/ul，使用caliper生物大分子分析仪或Agilent 2100或者NGS 3K对文库的insert size进行检测，保证insert size符合预期，使用StepOnePlus Real-Time PCR System进行Q-PCR，对文库的有效浓度进</w:t>
      </w:r>
      <w:r>
        <w:rPr>
          <w:rFonts w:hint="eastAsia" w:ascii="仿宋" w:hAnsi="仿宋" w:eastAsia="仿宋"/>
          <w:color w:val="000000" w:themeColor="text1"/>
          <w:sz w:val="24"/>
          <w:highlight w:val="none"/>
          <w14:textFill>
            <w14:solidFill>
              <w14:schemeClr w14:val="tx1"/>
            </w14:solidFill>
          </w14:textFill>
        </w:rPr>
        <w:t>行准确定量，保证文库有效浓度＞3nM。</w:t>
      </w:r>
    </w:p>
    <w:p>
      <w:pPr>
        <w:adjustRightInd w:val="0"/>
        <w:snapToGrid w:val="0"/>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（3）样本评估合格后出现文库构建失败的情况，成交供应商需要免费再次构建文库直至文库质控合格为止。</w:t>
      </w:r>
    </w:p>
    <w:p>
      <w:pPr>
        <w:adjustRightInd w:val="0"/>
        <w:snapToGrid w:val="0"/>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（4）对于低起始量的样本，需采用微量建库测序的方法进行建库。</w:t>
      </w:r>
    </w:p>
    <w:p>
      <w:pPr>
        <w:adjustRightInd w:val="0"/>
        <w:snapToGrid w:val="0"/>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3．测序平台要求</w:t>
      </w:r>
    </w:p>
    <w:p>
      <w:pPr>
        <w:adjustRightInd w:val="0"/>
        <w:snapToGrid w:val="0"/>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测序平台：要求使用Illumina NovaSeq 6000平台S4流动槽，PE150测序策略进行测序。</w:t>
      </w:r>
    </w:p>
    <w:p>
      <w:pPr>
        <w:adjustRightInd w:val="0"/>
        <w:snapToGrid w:val="0"/>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4．数据产出要求</w:t>
      </w:r>
    </w:p>
    <w:p>
      <w:pPr>
        <w:adjustRightInd w:val="0"/>
        <w:snapToGrid w:val="0"/>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供应商需进行400个虾样本的全基因组重测序（WGS）文库建库测序，PE150测序，需保证文库质量良好，均一性高。其中393个样本要求15 G raw data，6个样本要求45G raw data，1个样本要求81G raw data。每个样本数据量不低于承诺数据量，总数据量不低于6246 G (raw data)，要求数据Q20在95%以上、Q30在90%以上。</w:t>
      </w:r>
    </w:p>
    <w:p>
      <w:pPr>
        <w:adjustRightInd w:val="0"/>
        <w:snapToGrid w:val="0"/>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5．数据质控与交付</w:t>
      </w:r>
    </w:p>
    <w:p>
      <w:pPr>
        <w:adjustRightInd w:val="0"/>
        <w:snapToGrid w:val="0"/>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（1）采用严格的数据质控标准，保证数据质量。若数据质量不合格，成交供应商需要免费补测或重测直至数据质量符合要求。</w:t>
      </w:r>
    </w:p>
    <w:p>
      <w:pPr>
        <w:adjustRightInd w:val="0"/>
        <w:snapToGrid w:val="0"/>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（2）成交供应商负责fastq原始数据返还（产出比预期多的数据无偿为客户所有），并负责此过程中的邮寄费用。</w:t>
      </w:r>
    </w:p>
    <w:p>
      <w:pPr>
        <w:adjustRightInd w:val="0"/>
        <w:snapToGrid w:val="0"/>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6．数据过滤质控标准</w:t>
      </w:r>
    </w:p>
    <w:p>
      <w:pPr>
        <w:adjustRightInd w:val="0"/>
        <w:snapToGrid w:val="0"/>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（1）去除带接头(adapter)的paired-end reads；</w:t>
      </w:r>
    </w:p>
    <w:p>
      <w:pPr>
        <w:adjustRightInd w:val="0"/>
        <w:snapToGrid w:val="0"/>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（2）当单端测序read中含有的N的含量超过该条read长度比例的10%时，需要去除此对paired-end reads；</w:t>
      </w:r>
    </w:p>
    <w:p>
      <w:pPr>
        <w:adjustRightInd w:val="0"/>
        <w:snapToGrid w:val="0"/>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（3）当单端测序read中含有的低质量（Q≤5）碱基数超过该条read长度比例的50%时，需要去除此对paired-end reads。</w:t>
      </w:r>
    </w:p>
    <w:p>
      <w:pPr>
        <w:adjustRightInd w:val="0"/>
        <w:snapToGrid w:val="0"/>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7．交付周期</w:t>
      </w:r>
    </w:p>
    <w:p>
      <w:pPr>
        <w:adjustRightInd w:val="0"/>
        <w:snapToGrid w:val="0"/>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若全部样本一次性到达供应商所在地，供应商须在样本提取检测合格后25个自然日完成所有建库-测序工作并释放数据。</w:t>
      </w:r>
    </w:p>
    <w:p>
      <w:pPr>
        <w:adjustRightInd w:val="0"/>
        <w:snapToGrid w:val="0"/>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8．结题报告展示</w:t>
      </w:r>
    </w:p>
    <w:p>
      <w:pPr>
        <w:adjustRightInd w:val="0"/>
        <w:snapToGrid w:val="0"/>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数据下机后，对测序数据进行质量评估，并出相应的结题报告来展示项目的有效数据量、测序质量等全面的数据产量及质量信息。</w:t>
      </w:r>
    </w:p>
    <w:p>
      <w:pPr>
        <w:pStyle w:val="3"/>
        <w:snapToGrid w:val="0"/>
        <w:spacing w:beforeLines="0" w:afterLines="0" w:line="240" w:lineRule="auto"/>
        <w:jc w:val="left"/>
        <w:rPr>
          <w:rFonts w:ascii="黑体" w:hAnsi="黑体" w:eastAsia="黑体"/>
          <w:b/>
          <w:bCs/>
          <w:color w:val="000000" w:themeColor="text1"/>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pStyle w:val="3"/>
        <w:snapToGrid w:val="0"/>
        <w:spacing w:beforeLines="0" w:afterLines="0" w:line="240" w:lineRule="auto"/>
        <w:jc w:val="left"/>
        <w:rPr>
          <w:rFonts w:ascii="黑体" w:hAnsi="黑体" w:eastAsia="黑体"/>
          <w:b/>
          <w:bCs/>
          <w:color w:val="000000" w:themeColor="text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附件二：</w:t>
      </w:r>
      <w:r>
        <w:rPr>
          <w:rFonts w:ascii="黑体" w:hAnsi="黑体" w:eastAsia="黑体"/>
          <w:b/>
          <w:bCs/>
          <w:color w:val="000000" w:themeColor="text1"/>
          <w14:textFill>
            <w14:solidFill>
              <w14:schemeClr w14:val="tx1"/>
            </w14:solidFill>
          </w14:textFill>
        </w:rPr>
        <w:t>投标报价</w:t>
      </w:r>
      <w:r>
        <w:rPr>
          <w:rFonts w:hint="eastAsia" w:ascii="黑体" w:hAnsi="黑体" w:eastAsia="黑体"/>
          <w:b/>
          <w:bCs/>
          <w:color w:val="000000" w:themeColor="text1"/>
          <w14:textFill>
            <w14:solidFill>
              <w14:schemeClr w14:val="tx1"/>
            </w14:solidFill>
          </w14:textFill>
        </w:rPr>
        <w:t>清单</w:t>
      </w:r>
    </w:p>
    <w:p>
      <w:pPr>
        <w:snapToGrid w:val="0"/>
        <w:spacing w:before="50" w:after="50"/>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投标报价清单</w:t>
      </w:r>
    </w:p>
    <w:p>
      <w:pPr>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采购项目名称：</w:t>
      </w:r>
      <w:r>
        <w:rPr>
          <w:rFonts w:hint="eastAsia" w:ascii="仿宋" w:hAnsi="仿宋" w:eastAsia="仿宋"/>
          <w:b/>
          <w:color w:val="000000" w:themeColor="text1"/>
          <w:sz w:val="24"/>
          <w:szCs w:val="24"/>
          <w14:textFill>
            <w14:solidFill>
              <w14:schemeClr w14:val="tx1"/>
            </w14:solidFill>
          </w14:textFill>
        </w:rPr>
        <w:t>湖州师范学院生命科学学院虾基因组重测序分析服务采购项目</w:t>
      </w:r>
    </w:p>
    <w:p>
      <w:pPr>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采购项目编号：</w:t>
      </w:r>
      <w:r>
        <w:rPr>
          <w:rFonts w:hint="eastAsia" w:ascii="仿宋" w:hAnsi="仿宋" w:eastAsia="仿宋"/>
          <w:b/>
          <w:color w:val="000000" w:themeColor="text1"/>
          <w:sz w:val="24"/>
          <w:szCs w:val="24"/>
          <w14:textFill>
            <w14:solidFill>
              <w14:schemeClr w14:val="tx1"/>
            </w14:solidFill>
          </w14:textFill>
        </w:rPr>
        <w:t>XZ2020-147</w:t>
      </w:r>
    </w:p>
    <w:p>
      <w:pPr>
        <w:jc w:val="left"/>
        <w:rPr>
          <w:rFonts w:ascii="仿宋" w:hAnsi="仿宋" w:eastAsia="仿宋"/>
          <w:b/>
          <w:color w:val="000000" w:themeColor="text1"/>
          <w:sz w:val="24"/>
          <w:szCs w:val="24"/>
          <w14:textFill>
            <w14:solidFill>
              <w14:schemeClr w14:val="tx1"/>
            </w14:solidFill>
          </w14:textFill>
        </w:rPr>
      </w:pPr>
    </w:p>
    <w:tbl>
      <w:tblPr>
        <w:tblStyle w:val="9"/>
        <w:tblW w:w="14195" w:type="dxa"/>
        <w:jc w:val="center"/>
        <w:tblCellSpacing w:w="0" w:type="dxa"/>
        <w:tblLayout w:type="fixed"/>
        <w:tblCellMar>
          <w:top w:w="0" w:type="dxa"/>
          <w:left w:w="0" w:type="dxa"/>
          <w:bottom w:w="0" w:type="dxa"/>
          <w:right w:w="0" w:type="dxa"/>
        </w:tblCellMar>
      </w:tblPr>
      <w:tblGrid>
        <w:gridCol w:w="2207"/>
        <w:gridCol w:w="1900"/>
        <w:gridCol w:w="1233"/>
        <w:gridCol w:w="1342"/>
        <w:gridCol w:w="2693"/>
        <w:gridCol w:w="1134"/>
        <w:gridCol w:w="1276"/>
        <w:gridCol w:w="2410"/>
      </w:tblGrid>
      <w:tr>
        <w:tblPrEx>
          <w:tblCellMar>
            <w:top w:w="0" w:type="dxa"/>
            <w:left w:w="0" w:type="dxa"/>
            <w:bottom w:w="0" w:type="dxa"/>
            <w:right w:w="0" w:type="dxa"/>
          </w:tblCellMar>
        </w:tblPrEx>
        <w:trPr>
          <w:trHeight w:val="878" w:hRule="atLeast"/>
          <w:tblCellSpacing w:w="0" w:type="dxa"/>
          <w:jc w:val="center"/>
        </w:trPr>
        <w:tc>
          <w:tcPr>
            <w:tcW w:w="2207" w:type="dxa"/>
            <w:tcBorders>
              <w:top w:val="single" w:color="000000" w:sz="4" w:space="0"/>
              <w:left w:val="single" w:color="000000" w:sz="6" w:space="0"/>
              <w:bottom w:val="single" w:color="000000" w:sz="4" w:space="0"/>
              <w:right w:val="single" w:color="000000" w:sz="4" w:space="0"/>
            </w:tcBorders>
            <w:tcMar>
              <w:left w:w="108" w:type="dxa"/>
              <w:right w:w="108" w:type="dxa"/>
            </w:tcMar>
            <w:vAlign w:val="center"/>
          </w:tcPr>
          <w:p>
            <w:pPr>
              <w:spacing w:line="360" w:lineRule="auto"/>
              <w:jc w:val="center"/>
              <w:rPr>
                <w:b/>
                <w:bCs/>
                <w:color w:val="000000"/>
              </w:rPr>
            </w:pPr>
            <w:r>
              <w:rPr>
                <w:b/>
                <w:bCs/>
                <w:color w:val="000000"/>
              </w:rPr>
              <w:t>文库类型</w:t>
            </w:r>
          </w:p>
        </w:tc>
        <w:tc>
          <w:tcPr>
            <w:tcW w:w="190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60" w:lineRule="auto"/>
              <w:jc w:val="center"/>
              <w:rPr>
                <w:b/>
                <w:bCs/>
                <w:color w:val="000000"/>
              </w:rPr>
            </w:pPr>
            <w:r>
              <w:rPr>
                <w:rFonts w:hint="eastAsia"/>
                <w:b/>
                <w:bCs/>
                <w:color w:val="000000"/>
              </w:rPr>
              <w:t>文库类型</w:t>
            </w:r>
          </w:p>
        </w:tc>
        <w:tc>
          <w:tcPr>
            <w:tcW w:w="12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60" w:lineRule="auto"/>
              <w:jc w:val="center"/>
              <w:rPr>
                <w:b/>
                <w:bCs/>
                <w:color w:val="000000"/>
              </w:rPr>
            </w:pPr>
            <w:r>
              <w:rPr>
                <w:b/>
                <w:bCs/>
                <w:color w:val="000000"/>
              </w:rPr>
              <w:t>文库数量</w:t>
            </w:r>
          </w:p>
        </w:tc>
        <w:tc>
          <w:tcPr>
            <w:tcW w:w="134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60" w:lineRule="auto"/>
              <w:jc w:val="center"/>
              <w:rPr>
                <w:b/>
                <w:bCs/>
                <w:color w:val="000000"/>
              </w:rPr>
            </w:pPr>
            <w:r>
              <w:rPr>
                <w:b/>
                <w:bCs/>
                <w:color w:val="000000"/>
              </w:rPr>
              <w:t>测序深度</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60" w:lineRule="auto"/>
              <w:jc w:val="center"/>
              <w:rPr>
                <w:b/>
                <w:bCs/>
                <w:color w:val="000000"/>
              </w:rPr>
            </w:pPr>
            <w:r>
              <w:rPr>
                <w:b/>
                <w:bCs/>
                <w:color w:val="000000"/>
              </w:rPr>
              <w:t>测序</w:t>
            </w:r>
            <w:r>
              <w:rPr>
                <w:rFonts w:hint="eastAsia"/>
                <w:b/>
                <w:bCs/>
                <w:color w:val="000000"/>
              </w:rPr>
              <w:t>平台/</w:t>
            </w:r>
            <w:r>
              <w:rPr>
                <w:b/>
                <w:bCs/>
                <w:color w:val="000000"/>
              </w:rPr>
              <w:t>策略</w:t>
            </w:r>
          </w:p>
        </w:tc>
        <w:tc>
          <w:tcPr>
            <w:tcW w:w="11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60" w:lineRule="auto"/>
              <w:jc w:val="center"/>
              <w:rPr>
                <w:b/>
                <w:bCs/>
                <w:color w:val="000000"/>
              </w:rPr>
            </w:pPr>
            <w:r>
              <w:rPr>
                <w:b/>
                <w:bCs/>
                <w:color w:val="000000"/>
              </w:rPr>
              <w:t>总数据</w:t>
            </w:r>
            <w:r>
              <w:rPr>
                <w:rFonts w:hint="eastAsia"/>
                <w:b/>
                <w:bCs/>
                <w:color w:val="000000"/>
              </w:rPr>
              <w:t>量</w:t>
            </w: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60" w:lineRule="auto"/>
              <w:jc w:val="center"/>
              <w:rPr>
                <w:b/>
                <w:bCs/>
                <w:color w:val="000000"/>
              </w:rPr>
            </w:pPr>
            <w:r>
              <w:rPr>
                <w:rFonts w:hint="eastAsia"/>
                <w:b/>
                <w:bCs/>
                <w:color w:val="000000"/>
              </w:rPr>
              <w:t>文库单价</w:t>
            </w:r>
          </w:p>
        </w:tc>
        <w:tc>
          <w:tcPr>
            <w:tcW w:w="24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60" w:lineRule="auto"/>
              <w:jc w:val="center"/>
              <w:rPr>
                <w:b/>
                <w:bCs/>
                <w:color w:val="000000"/>
              </w:rPr>
            </w:pPr>
            <w:r>
              <w:rPr>
                <w:rFonts w:hint="eastAsia"/>
                <w:b/>
                <w:bCs/>
                <w:color w:val="000000"/>
              </w:rPr>
              <w:t>测序价格</w:t>
            </w:r>
          </w:p>
        </w:tc>
      </w:tr>
      <w:tr>
        <w:tblPrEx>
          <w:tblCellMar>
            <w:top w:w="0" w:type="dxa"/>
            <w:left w:w="0" w:type="dxa"/>
            <w:bottom w:w="0" w:type="dxa"/>
            <w:right w:w="0" w:type="dxa"/>
          </w:tblCellMar>
        </w:tblPrEx>
        <w:trPr>
          <w:trHeight w:val="1228" w:hRule="atLeast"/>
          <w:tblCellSpacing w:w="0" w:type="dxa"/>
          <w:jc w:val="center"/>
        </w:trPr>
        <w:tc>
          <w:tcPr>
            <w:tcW w:w="220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60" w:lineRule="auto"/>
              <w:jc w:val="center"/>
              <w:rPr>
                <w:color w:val="000000"/>
              </w:rPr>
            </w:pPr>
            <w:r>
              <w:rPr>
                <w:rFonts w:hint="eastAsia"/>
                <w:color w:val="000000"/>
              </w:rPr>
              <w:t>二代基因组文库</w:t>
            </w:r>
          </w:p>
        </w:tc>
        <w:tc>
          <w:tcPr>
            <w:tcW w:w="190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60" w:lineRule="auto"/>
              <w:jc w:val="center"/>
              <w:rPr>
                <w:color w:val="000000"/>
              </w:rPr>
            </w:pPr>
            <w:r>
              <w:rPr>
                <w:rFonts w:hint="eastAsia"/>
                <w:color w:val="000000"/>
              </w:rPr>
              <w:t>500bp/350bp</w:t>
            </w:r>
          </w:p>
        </w:tc>
        <w:tc>
          <w:tcPr>
            <w:tcW w:w="123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60" w:lineRule="auto"/>
              <w:jc w:val="center"/>
              <w:rPr>
                <w:color w:val="000000"/>
              </w:rPr>
            </w:pPr>
            <w:r>
              <w:rPr>
                <w:rFonts w:hint="eastAsia"/>
                <w:color w:val="000000"/>
              </w:rPr>
              <w:t>400个</w:t>
            </w:r>
          </w:p>
        </w:tc>
        <w:tc>
          <w:tcPr>
            <w:tcW w:w="1342"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60" w:lineRule="auto"/>
              <w:jc w:val="center"/>
            </w:pPr>
            <w:r>
              <w:rPr>
                <w:rFonts w:hint="eastAsia"/>
              </w:rPr>
              <w:t>5X</w:t>
            </w:r>
          </w:p>
        </w:tc>
        <w:tc>
          <w:tcPr>
            <w:tcW w:w="2693"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60" w:lineRule="auto"/>
              <w:jc w:val="center"/>
            </w:pPr>
            <w:r>
              <w:rPr>
                <w:rFonts w:hint="eastAsia"/>
              </w:rPr>
              <w:t>Illumina Novaseq PE150</w:t>
            </w:r>
          </w:p>
        </w:tc>
        <w:tc>
          <w:tcPr>
            <w:tcW w:w="11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60" w:lineRule="auto"/>
              <w:jc w:val="center"/>
            </w:pPr>
            <w:r>
              <w:rPr>
                <w:rFonts w:hint="eastAsia"/>
              </w:rPr>
              <w:t>6246G</w:t>
            </w:r>
          </w:p>
        </w:tc>
        <w:tc>
          <w:tcPr>
            <w:tcW w:w="127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60" w:lineRule="auto"/>
              <w:jc w:val="center"/>
            </w:pPr>
            <w:r>
              <w:rPr>
                <w:rFonts w:hint="eastAsia"/>
              </w:rPr>
              <w:t>元/个</w:t>
            </w:r>
          </w:p>
        </w:tc>
        <w:tc>
          <w:tcPr>
            <w:tcW w:w="24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60" w:lineRule="auto"/>
              <w:jc w:val="center"/>
            </w:pPr>
            <w:r>
              <w:rPr>
                <w:rFonts w:hint="eastAsia"/>
              </w:rPr>
              <w:t>元/G</w:t>
            </w:r>
          </w:p>
        </w:tc>
      </w:tr>
      <w:tr>
        <w:tblPrEx>
          <w:tblCellMar>
            <w:top w:w="0" w:type="dxa"/>
            <w:left w:w="0" w:type="dxa"/>
            <w:bottom w:w="0" w:type="dxa"/>
            <w:right w:w="0" w:type="dxa"/>
          </w:tblCellMar>
        </w:tblPrEx>
        <w:trPr>
          <w:trHeight w:val="929" w:hRule="atLeast"/>
          <w:tblCellSpacing w:w="0" w:type="dxa"/>
          <w:jc w:val="center"/>
        </w:trPr>
        <w:tc>
          <w:tcPr>
            <w:tcW w:w="220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60" w:lineRule="auto"/>
              <w:jc w:val="center"/>
              <w:rPr>
                <w:color w:val="000000"/>
              </w:rPr>
            </w:pPr>
            <w:r>
              <w:rPr>
                <w:rFonts w:hint="eastAsia"/>
                <w:color w:val="000000"/>
              </w:rPr>
              <w:t>总计</w:t>
            </w:r>
          </w:p>
        </w:tc>
        <w:tc>
          <w:tcPr>
            <w:tcW w:w="11988" w:type="dxa"/>
            <w:gridSpan w:val="7"/>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spacing w:line="360" w:lineRule="auto"/>
              <w:jc w:val="center"/>
              <w:rPr>
                <w:b/>
                <w:bCs/>
                <w:color w:val="000000"/>
              </w:rPr>
            </w:pPr>
            <w:r>
              <w:rPr>
                <w:rFonts w:hint="eastAsia" w:ascii="仿宋" w:hAnsi="仿宋" w:eastAsia="仿宋" w:cs="仿宋"/>
                <w:color w:val="000000"/>
                <w:kern w:val="0"/>
                <w:szCs w:val="21"/>
                <w:lang w:bidi="ar"/>
              </w:rPr>
              <w:t>大写：</w:t>
            </w:r>
            <w:r>
              <w:rPr>
                <w:rFonts w:hint="eastAsia" w:ascii="仿宋" w:hAnsi="仿宋" w:eastAsia="仿宋" w:cs="仿宋"/>
                <w:color w:val="000000"/>
                <w:kern w:val="0"/>
                <w:szCs w:val="21"/>
                <w:u w:val="single"/>
                <w:lang w:bidi="ar"/>
              </w:rPr>
              <w:t xml:space="preserve">        </w:t>
            </w:r>
            <w:r>
              <w:rPr>
                <w:rFonts w:hint="eastAsia" w:ascii="仿宋" w:hAnsi="仿宋" w:eastAsia="仿宋" w:cs="仿宋"/>
                <w:b/>
                <w:bCs/>
                <w:color w:val="000000"/>
                <w:kern w:val="0"/>
                <w:szCs w:val="21"/>
                <w:u w:val="single"/>
                <w:lang w:bidi="ar"/>
              </w:rPr>
              <w:t xml:space="preserve">  </w:t>
            </w:r>
            <w:r>
              <w:rPr>
                <w:rFonts w:hint="eastAsia" w:ascii="仿宋" w:hAnsi="仿宋" w:eastAsia="仿宋" w:cs="仿宋"/>
                <w:color w:val="000000"/>
                <w:kern w:val="0"/>
                <w:szCs w:val="21"/>
                <w:u w:val="single"/>
                <w:lang w:bidi="ar"/>
              </w:rPr>
              <w:t xml:space="preserve">                   元整（¥    </w:t>
            </w:r>
            <w:r>
              <w:rPr>
                <w:rFonts w:hint="eastAsia" w:ascii="仿宋" w:hAnsi="仿宋" w:eastAsia="仿宋" w:cs="仿宋"/>
                <w:b/>
                <w:bCs/>
                <w:color w:val="000000"/>
                <w:kern w:val="0"/>
                <w:szCs w:val="21"/>
                <w:u w:val="single"/>
                <w:lang w:bidi="ar"/>
              </w:rPr>
              <w:t xml:space="preserve">   </w:t>
            </w:r>
            <w:r>
              <w:rPr>
                <w:rFonts w:hint="eastAsia" w:ascii="仿宋" w:hAnsi="仿宋" w:eastAsia="仿宋" w:cs="仿宋"/>
                <w:color w:val="000000"/>
                <w:kern w:val="0"/>
                <w:szCs w:val="21"/>
                <w:u w:val="single"/>
                <w:lang w:bidi="ar"/>
              </w:rPr>
              <w:t xml:space="preserve">    元）</w:t>
            </w:r>
          </w:p>
        </w:tc>
      </w:tr>
    </w:tbl>
    <w:p>
      <w:pPr>
        <w:jc w:val="left"/>
        <w:rPr>
          <w:rFonts w:ascii="仿宋" w:hAnsi="仿宋" w:eastAsia="仿宋"/>
          <w:b/>
          <w:color w:val="000000" w:themeColor="text1"/>
          <w:sz w:val="24"/>
          <w:szCs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授权代表签字：                      投标人（公章）：</w:t>
      </w: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080184"/>
    <w:multiLevelType w:val="singleLevel"/>
    <w:tmpl w:val="BB08018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C6"/>
    <w:rsid w:val="0000101B"/>
    <w:rsid w:val="0000344B"/>
    <w:rsid w:val="00037BFF"/>
    <w:rsid w:val="00040727"/>
    <w:rsid w:val="00062004"/>
    <w:rsid w:val="00080227"/>
    <w:rsid w:val="00096D9C"/>
    <w:rsid w:val="000C1608"/>
    <w:rsid w:val="000D2EC4"/>
    <w:rsid w:val="000F05A7"/>
    <w:rsid w:val="000F2CC8"/>
    <w:rsid w:val="00103F96"/>
    <w:rsid w:val="00135363"/>
    <w:rsid w:val="0014339F"/>
    <w:rsid w:val="00172FD3"/>
    <w:rsid w:val="001929ED"/>
    <w:rsid w:val="00193521"/>
    <w:rsid w:val="001B1358"/>
    <w:rsid w:val="001E1EC2"/>
    <w:rsid w:val="001E501C"/>
    <w:rsid w:val="002054BA"/>
    <w:rsid w:val="00217F50"/>
    <w:rsid w:val="00224EAF"/>
    <w:rsid w:val="002324DE"/>
    <w:rsid w:val="00247196"/>
    <w:rsid w:val="00261301"/>
    <w:rsid w:val="002673A6"/>
    <w:rsid w:val="002757BC"/>
    <w:rsid w:val="00290625"/>
    <w:rsid w:val="002A0EDF"/>
    <w:rsid w:val="002C07FB"/>
    <w:rsid w:val="002D68AB"/>
    <w:rsid w:val="002F51B7"/>
    <w:rsid w:val="00301360"/>
    <w:rsid w:val="00305B39"/>
    <w:rsid w:val="00333C6F"/>
    <w:rsid w:val="00336305"/>
    <w:rsid w:val="00337D81"/>
    <w:rsid w:val="00342473"/>
    <w:rsid w:val="003516C4"/>
    <w:rsid w:val="0035464D"/>
    <w:rsid w:val="0036356D"/>
    <w:rsid w:val="003871A6"/>
    <w:rsid w:val="003926C0"/>
    <w:rsid w:val="003D07E1"/>
    <w:rsid w:val="00415441"/>
    <w:rsid w:val="0041574A"/>
    <w:rsid w:val="0041651E"/>
    <w:rsid w:val="00456277"/>
    <w:rsid w:val="00463B0D"/>
    <w:rsid w:val="00464417"/>
    <w:rsid w:val="00464E45"/>
    <w:rsid w:val="004743A6"/>
    <w:rsid w:val="004771E6"/>
    <w:rsid w:val="004872D8"/>
    <w:rsid w:val="004916EC"/>
    <w:rsid w:val="004924C9"/>
    <w:rsid w:val="004B117E"/>
    <w:rsid w:val="00514CBE"/>
    <w:rsid w:val="005178C9"/>
    <w:rsid w:val="00530E73"/>
    <w:rsid w:val="00552964"/>
    <w:rsid w:val="00554C3B"/>
    <w:rsid w:val="0056747D"/>
    <w:rsid w:val="00572531"/>
    <w:rsid w:val="00575467"/>
    <w:rsid w:val="0058369B"/>
    <w:rsid w:val="00596AD4"/>
    <w:rsid w:val="005A4071"/>
    <w:rsid w:val="005A604D"/>
    <w:rsid w:val="005B3C0F"/>
    <w:rsid w:val="005F79C6"/>
    <w:rsid w:val="006110C9"/>
    <w:rsid w:val="00617688"/>
    <w:rsid w:val="00636972"/>
    <w:rsid w:val="00652254"/>
    <w:rsid w:val="006737AA"/>
    <w:rsid w:val="006868AF"/>
    <w:rsid w:val="00695F1F"/>
    <w:rsid w:val="006A2FA1"/>
    <w:rsid w:val="006C00D3"/>
    <w:rsid w:val="006F4161"/>
    <w:rsid w:val="006F563E"/>
    <w:rsid w:val="00724DE3"/>
    <w:rsid w:val="007333DD"/>
    <w:rsid w:val="0074168C"/>
    <w:rsid w:val="007801DC"/>
    <w:rsid w:val="007B069C"/>
    <w:rsid w:val="007C3B0B"/>
    <w:rsid w:val="007D744C"/>
    <w:rsid w:val="007F1635"/>
    <w:rsid w:val="007F3AE6"/>
    <w:rsid w:val="007F44A6"/>
    <w:rsid w:val="00801C5E"/>
    <w:rsid w:val="008021A0"/>
    <w:rsid w:val="00802FD7"/>
    <w:rsid w:val="008171CB"/>
    <w:rsid w:val="0082075E"/>
    <w:rsid w:val="00832D44"/>
    <w:rsid w:val="00842E99"/>
    <w:rsid w:val="00860F48"/>
    <w:rsid w:val="00865555"/>
    <w:rsid w:val="00884B9C"/>
    <w:rsid w:val="00886E6D"/>
    <w:rsid w:val="00891B5F"/>
    <w:rsid w:val="008D614F"/>
    <w:rsid w:val="008E7BA2"/>
    <w:rsid w:val="008F7ACA"/>
    <w:rsid w:val="009037BD"/>
    <w:rsid w:val="00906033"/>
    <w:rsid w:val="00935F25"/>
    <w:rsid w:val="009511B6"/>
    <w:rsid w:val="009653C3"/>
    <w:rsid w:val="00967075"/>
    <w:rsid w:val="00973234"/>
    <w:rsid w:val="00973402"/>
    <w:rsid w:val="00984C7E"/>
    <w:rsid w:val="009859CA"/>
    <w:rsid w:val="009A10B8"/>
    <w:rsid w:val="009A3BA5"/>
    <w:rsid w:val="009D38F7"/>
    <w:rsid w:val="009E4F41"/>
    <w:rsid w:val="009F25FD"/>
    <w:rsid w:val="00A03183"/>
    <w:rsid w:val="00A04891"/>
    <w:rsid w:val="00A214FF"/>
    <w:rsid w:val="00A277B4"/>
    <w:rsid w:val="00A505B1"/>
    <w:rsid w:val="00A55EE2"/>
    <w:rsid w:val="00AA5DBD"/>
    <w:rsid w:val="00AC6DDF"/>
    <w:rsid w:val="00B1176F"/>
    <w:rsid w:val="00B15E3D"/>
    <w:rsid w:val="00B2132D"/>
    <w:rsid w:val="00B2222E"/>
    <w:rsid w:val="00B40088"/>
    <w:rsid w:val="00B43ED9"/>
    <w:rsid w:val="00B45A2C"/>
    <w:rsid w:val="00B53643"/>
    <w:rsid w:val="00B63316"/>
    <w:rsid w:val="00B76176"/>
    <w:rsid w:val="00B768FA"/>
    <w:rsid w:val="00B96CF8"/>
    <w:rsid w:val="00BA4DF7"/>
    <w:rsid w:val="00BA7478"/>
    <w:rsid w:val="00BF5CFA"/>
    <w:rsid w:val="00C043C9"/>
    <w:rsid w:val="00C27D1F"/>
    <w:rsid w:val="00C32334"/>
    <w:rsid w:val="00C439F6"/>
    <w:rsid w:val="00C44089"/>
    <w:rsid w:val="00C820D6"/>
    <w:rsid w:val="00C84FC9"/>
    <w:rsid w:val="00C86509"/>
    <w:rsid w:val="00C87E44"/>
    <w:rsid w:val="00C90129"/>
    <w:rsid w:val="00C94C3D"/>
    <w:rsid w:val="00CB0E59"/>
    <w:rsid w:val="00CB4269"/>
    <w:rsid w:val="00CD5436"/>
    <w:rsid w:val="00CE5C69"/>
    <w:rsid w:val="00D06C3E"/>
    <w:rsid w:val="00D2616D"/>
    <w:rsid w:val="00D26C11"/>
    <w:rsid w:val="00D505E0"/>
    <w:rsid w:val="00D560F0"/>
    <w:rsid w:val="00D624D3"/>
    <w:rsid w:val="00DB0E25"/>
    <w:rsid w:val="00DB3D67"/>
    <w:rsid w:val="00DC0E93"/>
    <w:rsid w:val="00DC353D"/>
    <w:rsid w:val="00DC72EF"/>
    <w:rsid w:val="00DE49C3"/>
    <w:rsid w:val="00E03991"/>
    <w:rsid w:val="00E227E8"/>
    <w:rsid w:val="00E36A24"/>
    <w:rsid w:val="00E42A4F"/>
    <w:rsid w:val="00E44115"/>
    <w:rsid w:val="00E52A29"/>
    <w:rsid w:val="00F1571F"/>
    <w:rsid w:val="00F21ACF"/>
    <w:rsid w:val="00F23E21"/>
    <w:rsid w:val="00F46313"/>
    <w:rsid w:val="00F51BDB"/>
    <w:rsid w:val="00F62BA7"/>
    <w:rsid w:val="00F732A0"/>
    <w:rsid w:val="00F83FDC"/>
    <w:rsid w:val="00FA7F94"/>
    <w:rsid w:val="00FB70B7"/>
    <w:rsid w:val="00FC04CE"/>
    <w:rsid w:val="00FD1408"/>
    <w:rsid w:val="00FE190A"/>
    <w:rsid w:val="00FF1947"/>
    <w:rsid w:val="00FF1BCE"/>
    <w:rsid w:val="00FF5869"/>
    <w:rsid w:val="029F0788"/>
    <w:rsid w:val="0DF12A0C"/>
    <w:rsid w:val="11D75D61"/>
    <w:rsid w:val="18462C05"/>
    <w:rsid w:val="1AA22356"/>
    <w:rsid w:val="1E817C6E"/>
    <w:rsid w:val="261E5BD6"/>
    <w:rsid w:val="26E85221"/>
    <w:rsid w:val="2E350BF7"/>
    <w:rsid w:val="321F73AA"/>
    <w:rsid w:val="32274E71"/>
    <w:rsid w:val="38806F68"/>
    <w:rsid w:val="406F0267"/>
    <w:rsid w:val="41AC0A71"/>
    <w:rsid w:val="45147ED2"/>
    <w:rsid w:val="46055408"/>
    <w:rsid w:val="46FA36AF"/>
    <w:rsid w:val="470D29FD"/>
    <w:rsid w:val="491A430A"/>
    <w:rsid w:val="4CCE6F95"/>
    <w:rsid w:val="573A2C8C"/>
    <w:rsid w:val="5A4D251F"/>
    <w:rsid w:val="5A52694C"/>
    <w:rsid w:val="5C8137F0"/>
    <w:rsid w:val="65F509B6"/>
    <w:rsid w:val="6628674B"/>
    <w:rsid w:val="6678268C"/>
    <w:rsid w:val="6A75632C"/>
    <w:rsid w:val="6C02764A"/>
    <w:rsid w:val="73684614"/>
    <w:rsid w:val="7CC35CD0"/>
    <w:rsid w:val="7E49314C"/>
    <w:rsid w:val="7F030A79"/>
    <w:rsid w:val="7F745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21"/>
    <w:qFormat/>
    <w:uiPriority w:val="0"/>
    <w:pPr>
      <w:spacing w:after="120"/>
    </w:pPr>
    <w:rPr>
      <w:rFonts w:ascii="宋体" w:hAnsi="宋体"/>
      <w:sz w:val="28"/>
      <w:szCs w:val="24"/>
    </w:rPr>
  </w:style>
  <w:style w:type="paragraph" w:styleId="3">
    <w:name w:val="Plain Text"/>
    <w:basedOn w:val="1"/>
    <w:link w:val="18"/>
    <w:qFormat/>
    <w:uiPriority w:val="0"/>
    <w:pPr>
      <w:spacing w:beforeLines="50" w:afterLines="50" w:line="400" w:lineRule="atLeast"/>
    </w:pPr>
    <w:rPr>
      <w:rFonts w:ascii="宋体" w:hAnsi="Courier New"/>
      <w:sz w:val="24"/>
      <w:szCs w:val="24"/>
    </w:rPr>
  </w:style>
  <w:style w:type="paragraph" w:styleId="4">
    <w:name w:val="Date"/>
    <w:basedOn w:val="1"/>
    <w:next w:val="1"/>
    <w:link w:val="16"/>
    <w:semiHidden/>
    <w:unhideWhenUsed/>
    <w:qFormat/>
    <w:uiPriority w:val="99"/>
    <w:pPr>
      <w:ind w:left="100" w:leftChars="2500"/>
    </w:pPr>
  </w:style>
  <w:style w:type="paragraph" w:styleId="5">
    <w:name w:val="Body Text Indent 2"/>
    <w:basedOn w:val="1"/>
    <w:link w:val="11"/>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正文文本缩进 2 字符"/>
    <w:basedOn w:val="10"/>
    <w:link w:val="5"/>
    <w:qFormat/>
    <w:uiPriority w:val="0"/>
    <w:rPr>
      <w:rFonts w:ascii="Times New Roman" w:hAnsi="Times New Roman" w:eastAsia="宋体" w:cs="Times New Roman"/>
      <w:sz w:val="28"/>
      <w:szCs w:val="24"/>
    </w:rPr>
  </w:style>
  <w:style w:type="paragraph" w:styleId="12">
    <w:name w:val="List Paragraph"/>
    <w:basedOn w:val="1"/>
    <w:qFormat/>
    <w:uiPriority w:val="1"/>
    <w:pPr>
      <w:ind w:firstLine="420" w:firstLineChars="200"/>
    </w:pPr>
  </w:style>
  <w:style w:type="paragraph" w:customStyle="1" w:styleId="13">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4">
    <w:name w:val="页眉 字符"/>
    <w:basedOn w:val="10"/>
    <w:link w:val="8"/>
    <w:qFormat/>
    <w:uiPriority w:val="99"/>
    <w:rPr>
      <w:sz w:val="18"/>
      <w:szCs w:val="18"/>
    </w:rPr>
  </w:style>
  <w:style w:type="character" w:customStyle="1" w:styleId="15">
    <w:name w:val="页脚 字符"/>
    <w:basedOn w:val="10"/>
    <w:link w:val="7"/>
    <w:qFormat/>
    <w:uiPriority w:val="99"/>
    <w:rPr>
      <w:sz w:val="18"/>
      <w:szCs w:val="18"/>
    </w:rPr>
  </w:style>
  <w:style w:type="character" w:customStyle="1" w:styleId="16">
    <w:name w:val="日期 字符"/>
    <w:basedOn w:val="10"/>
    <w:link w:val="4"/>
    <w:semiHidden/>
    <w:qFormat/>
    <w:uiPriority w:val="99"/>
  </w:style>
  <w:style w:type="character" w:customStyle="1" w:styleId="17">
    <w:name w:val="纯文本 Char"/>
    <w:basedOn w:val="10"/>
    <w:qFormat/>
    <w:uiPriority w:val="0"/>
    <w:rPr>
      <w:rFonts w:ascii="宋体" w:hAnsi="Courier New"/>
      <w:sz w:val="24"/>
      <w:szCs w:val="24"/>
    </w:rPr>
  </w:style>
  <w:style w:type="character" w:customStyle="1" w:styleId="18">
    <w:name w:val="纯文本 字符"/>
    <w:basedOn w:val="10"/>
    <w:link w:val="3"/>
    <w:semiHidden/>
    <w:qFormat/>
    <w:uiPriority w:val="99"/>
    <w:rPr>
      <w:rFonts w:ascii="宋体" w:hAnsi="Courier New" w:eastAsia="宋体" w:cs="Courier New"/>
      <w:szCs w:val="21"/>
    </w:rPr>
  </w:style>
  <w:style w:type="paragraph" w:customStyle="1" w:styleId="19">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0">
    <w:name w:val="正文文本 Char"/>
    <w:qFormat/>
    <w:uiPriority w:val="0"/>
    <w:rPr>
      <w:rFonts w:ascii="宋体" w:hAnsi="宋体"/>
      <w:sz w:val="28"/>
      <w:szCs w:val="24"/>
    </w:rPr>
  </w:style>
  <w:style w:type="character" w:customStyle="1" w:styleId="21">
    <w:name w:val="正文文本 字符"/>
    <w:basedOn w:val="10"/>
    <w:link w:val="2"/>
    <w:semiHidden/>
    <w:qFormat/>
    <w:uiPriority w:val="99"/>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3">
    <w:name w:val="批注框文本 字符"/>
    <w:basedOn w:val="10"/>
    <w:link w:val="6"/>
    <w:semiHidden/>
    <w:qFormat/>
    <w:uiPriority w:val="99"/>
    <w:rPr>
      <w:kern w:val="2"/>
      <w:sz w:val="18"/>
      <w:szCs w:val="18"/>
    </w:rPr>
  </w:style>
  <w:style w:type="character" w:customStyle="1" w:styleId="24">
    <w:name w:val="font61"/>
    <w:basedOn w:val="10"/>
    <w:qFormat/>
    <w:uiPriority w:val="0"/>
    <w:rPr>
      <w:rFonts w:hint="eastAsia" w:ascii="宋体" w:hAnsi="宋体" w:eastAsia="宋体" w:cs="宋体"/>
      <w:color w:val="000000"/>
      <w:sz w:val="22"/>
      <w:szCs w:val="22"/>
      <w:u w:val="none"/>
    </w:rPr>
  </w:style>
  <w:style w:type="character" w:customStyle="1" w:styleId="25">
    <w:name w:val="font51"/>
    <w:basedOn w:val="10"/>
    <w:qFormat/>
    <w:uiPriority w:val="0"/>
    <w:rPr>
      <w:rFonts w:ascii="华文细黑" w:hAnsi="华文细黑" w:eastAsia="华文细黑" w:cs="华文细黑"/>
      <w:color w:val="000000"/>
      <w:sz w:val="22"/>
      <w:szCs w:val="22"/>
      <w:u w:val="none"/>
    </w:rPr>
  </w:style>
  <w:style w:type="character" w:customStyle="1" w:styleId="26">
    <w:name w:val="font31"/>
    <w:basedOn w:val="10"/>
    <w:qFormat/>
    <w:uiPriority w:val="0"/>
    <w:rPr>
      <w:rFonts w:hint="eastAsia" w:ascii="微软雅黑" w:hAnsi="微软雅黑" w:eastAsia="微软雅黑" w:cs="微软雅黑"/>
      <w:b/>
      <w:color w:val="000000"/>
      <w:sz w:val="20"/>
      <w:szCs w:val="20"/>
      <w:u w:val="none"/>
    </w:rPr>
  </w:style>
  <w:style w:type="character" w:customStyle="1" w:styleId="27">
    <w:name w:val="font21"/>
    <w:basedOn w:val="10"/>
    <w:qFormat/>
    <w:uiPriority w:val="0"/>
    <w:rPr>
      <w:rFonts w:hint="eastAsia" w:ascii="宋体" w:hAnsi="宋体" w:eastAsia="宋体" w:cs="宋体"/>
      <w:b/>
      <w:color w:val="000000"/>
      <w:sz w:val="20"/>
      <w:szCs w:val="20"/>
      <w:u w:val="none"/>
    </w:rPr>
  </w:style>
  <w:style w:type="character" w:customStyle="1" w:styleId="28">
    <w:name w:val="font0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544</Words>
  <Characters>3103</Characters>
  <Lines>25</Lines>
  <Paragraphs>7</Paragraphs>
  <TotalTime>3</TotalTime>
  <ScaleCrop>false</ScaleCrop>
  <LinksUpToDate>false</LinksUpToDate>
  <CharactersWithSpaces>3640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2020-11-13T08:30:00Z</dcterms:created>
  <dc:creator>微软用户</dc:creator>
  <cp:lastModifiedBy>WPS_1527948739</cp:lastModifiedBy>
  <dcterms:modified xsi:type="dcterms:W3CDTF">2020-11-16T00:39:44Z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