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cs="宋体" w:asciiTheme="majorEastAsia" w:hAnsiTheme="majorEastAsia" w:eastAsiaTheme="majorEastAsia"/>
          <w:b/>
          <w:sz w:val="32"/>
          <w:szCs w:val="32"/>
          <w:lang w:eastAsia="zh-CN"/>
        </w:rPr>
      </w:pPr>
      <w:r>
        <w:rPr>
          <w:rFonts w:cs="宋体" w:asciiTheme="majorEastAsia" w:hAnsiTheme="majorEastAsia" w:eastAsiaTheme="majorEastAsia"/>
          <w:b/>
          <w:sz w:val="32"/>
          <w:szCs w:val="32"/>
          <w:lang w:eastAsia="zh-CN"/>
        </w:rPr>
        <w:t>湖州师范学院研究生院202</w:t>
      </w:r>
      <w:r>
        <w:rPr>
          <w:rFonts w:hint="eastAsia" w:cs="宋体" w:asciiTheme="majorEastAsia" w:hAnsiTheme="majorEastAsia" w:eastAsiaTheme="majorEastAsia"/>
          <w:b/>
          <w:sz w:val="32"/>
          <w:szCs w:val="32"/>
          <w:lang w:val="en-US" w:eastAsia="zh-CN"/>
        </w:rPr>
        <w:t>3</w:t>
      </w:r>
      <w:r>
        <w:rPr>
          <w:rFonts w:cs="宋体" w:asciiTheme="majorEastAsia" w:hAnsiTheme="majorEastAsia" w:eastAsiaTheme="majorEastAsia"/>
          <w:b/>
          <w:sz w:val="32"/>
          <w:szCs w:val="32"/>
          <w:lang w:eastAsia="zh-CN"/>
        </w:rPr>
        <w:t>年国内研究生学位论文送审服务项目</w:t>
      </w:r>
      <w:r>
        <w:rPr>
          <w:rFonts w:hint="eastAsia" w:cs="宋体" w:asciiTheme="majorEastAsia" w:hAnsiTheme="majorEastAsia" w:eastAsiaTheme="majorEastAsia"/>
          <w:b/>
          <w:sz w:val="32"/>
          <w:szCs w:val="32"/>
          <w:lang w:eastAsia="zh-CN"/>
        </w:rPr>
        <w:t>单一来源</w:t>
      </w:r>
      <w:r>
        <w:rPr>
          <w:rFonts w:hint="eastAsia" w:asciiTheme="majorEastAsia" w:hAnsiTheme="majorEastAsia" w:eastAsiaTheme="majorEastAsia"/>
          <w:b/>
          <w:sz w:val="32"/>
          <w:szCs w:val="32"/>
          <w:lang w:eastAsia="zh-CN"/>
        </w:rPr>
        <w:t>谈判文件</w:t>
      </w:r>
    </w:p>
    <w:p>
      <w:pPr>
        <w:spacing w:after="0" w:line="240" w:lineRule="auto"/>
        <w:ind w:firstLine="472" w:firstLineChars="196"/>
        <w:rPr>
          <w:rFonts w:ascii="仿宋" w:hAnsi="仿宋" w:eastAsia="仿宋"/>
          <w:b/>
          <w:sz w:val="24"/>
          <w:lang w:eastAsia="zh-CN"/>
        </w:rPr>
      </w:pPr>
      <w:r>
        <w:rPr>
          <w:rFonts w:hint="eastAsia" w:ascii="仿宋" w:hAnsi="仿宋" w:eastAsia="仿宋"/>
          <w:b/>
          <w:sz w:val="24"/>
          <w:lang w:eastAsia="zh-CN"/>
        </w:rPr>
        <w:t>一、采购项目名称及采购清单及要求：</w:t>
      </w:r>
    </w:p>
    <w:p>
      <w:p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1.采购项</w:t>
      </w:r>
      <w:r>
        <w:rPr>
          <w:rFonts w:hint="eastAsia" w:ascii="仿宋" w:hAnsi="仿宋" w:eastAsia="仿宋"/>
          <w:sz w:val="24"/>
          <w:szCs w:val="24"/>
          <w:lang w:eastAsia="zh-CN"/>
        </w:rPr>
        <w:t>目名称：湖州师范学院研究生院202</w:t>
      </w:r>
      <w:r>
        <w:rPr>
          <w:rFonts w:hint="eastAsia" w:ascii="仿宋" w:hAnsi="仿宋" w:eastAsia="仿宋"/>
          <w:sz w:val="24"/>
          <w:szCs w:val="24"/>
          <w:lang w:val="en-US" w:eastAsia="zh-CN"/>
        </w:rPr>
        <w:t>3</w:t>
      </w:r>
      <w:r>
        <w:rPr>
          <w:rFonts w:hint="eastAsia" w:ascii="仿宋" w:hAnsi="仿宋" w:eastAsia="仿宋"/>
          <w:sz w:val="24"/>
          <w:szCs w:val="24"/>
          <w:lang w:eastAsia="zh-CN"/>
        </w:rPr>
        <w:t>年国内研究生学位论文送审服务项目</w:t>
      </w:r>
    </w:p>
    <w:p>
      <w:pPr>
        <w:spacing w:after="0" w:line="240" w:lineRule="auto"/>
        <w:ind w:firstLine="480" w:firstLineChars="200"/>
        <w:rPr>
          <w:rFonts w:hint="default" w:ascii="仿宋" w:hAnsi="仿宋" w:eastAsia="仿宋"/>
          <w:sz w:val="24"/>
          <w:lang w:val="en-US" w:eastAsia="zh-CN"/>
        </w:rPr>
      </w:pPr>
      <w:r>
        <w:rPr>
          <w:rFonts w:hint="eastAsia" w:ascii="仿宋" w:hAnsi="仿宋" w:eastAsia="仿宋"/>
          <w:sz w:val="24"/>
          <w:lang w:eastAsia="zh-CN"/>
        </w:rPr>
        <w:t>2.采购项目编号：XZ202</w:t>
      </w:r>
      <w:r>
        <w:rPr>
          <w:rFonts w:hint="eastAsia" w:ascii="仿宋" w:hAnsi="仿宋" w:eastAsia="仿宋"/>
          <w:sz w:val="24"/>
          <w:lang w:val="en-US" w:eastAsia="zh-CN"/>
        </w:rPr>
        <w:t>3</w:t>
      </w:r>
      <w:r>
        <w:rPr>
          <w:rFonts w:hint="eastAsia" w:ascii="仿宋" w:hAnsi="仿宋" w:eastAsia="仿宋"/>
          <w:sz w:val="24"/>
          <w:lang w:eastAsia="zh-CN"/>
        </w:rPr>
        <w:t>-0</w:t>
      </w:r>
      <w:r>
        <w:rPr>
          <w:rFonts w:hint="eastAsia" w:ascii="仿宋" w:hAnsi="仿宋" w:eastAsia="仿宋"/>
          <w:sz w:val="24"/>
          <w:lang w:val="en-US" w:eastAsia="zh-CN"/>
        </w:rPr>
        <w:t>11</w:t>
      </w:r>
    </w:p>
    <w:p>
      <w:p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3.采购组织类型：分散采购自行组织</w:t>
      </w:r>
    </w:p>
    <w:p>
      <w:p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4.采购方式：校内单一来源谈判</w:t>
      </w:r>
    </w:p>
    <w:tbl>
      <w:tblPr>
        <w:tblStyle w:val="18"/>
        <w:tblpPr w:leftFromText="180" w:rightFromText="180" w:vertAnchor="text" w:horzAnchor="page" w:tblpX="1566" w:tblpY="292"/>
        <w:tblOverlap w:val="never"/>
        <w:tblW w:w="8937"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567" w:type="dxa"/>
          <w:left w:w="105" w:type="dxa"/>
          <w:bottom w:w="567" w:type="dxa"/>
          <w:right w:w="105" w:type="dxa"/>
        </w:tblCellMar>
      </w:tblPr>
      <w:tblGrid>
        <w:gridCol w:w="700"/>
        <w:gridCol w:w="3069"/>
        <w:gridCol w:w="1256"/>
        <w:gridCol w:w="1238"/>
        <w:gridCol w:w="1337"/>
        <w:gridCol w:w="133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567" w:type="dxa"/>
            <w:left w:w="105" w:type="dxa"/>
            <w:bottom w:w="567" w:type="dxa"/>
            <w:right w:w="105" w:type="dxa"/>
          </w:tblCellMar>
        </w:tblPrEx>
        <w:trPr>
          <w:trHeight w:val="535" w:hRule="atLeast"/>
        </w:trPr>
        <w:tc>
          <w:tcPr>
            <w:tcW w:w="700"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rFonts w:hint="eastAsia" w:ascii="仿宋" w:hAnsi="仿宋" w:eastAsia="仿宋" w:cs="仿宋"/>
                <w:sz w:val="24"/>
                <w:szCs w:val="24"/>
              </w:rPr>
            </w:pPr>
            <w:r>
              <w:rPr>
                <w:rStyle w:val="21"/>
                <w:rFonts w:hint="eastAsia" w:ascii="仿宋" w:hAnsi="仿宋" w:eastAsia="仿宋" w:cs="仿宋"/>
                <w:sz w:val="24"/>
                <w:szCs w:val="24"/>
              </w:rPr>
              <w:t>序号</w:t>
            </w:r>
          </w:p>
        </w:tc>
        <w:tc>
          <w:tcPr>
            <w:tcW w:w="3069" w:type="dxa"/>
            <w:tcBorders>
              <w:top w:val="single" w:color="000000" w:sz="6" w:space="0"/>
              <w:left w:val="nil"/>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rFonts w:hint="eastAsia" w:ascii="仿宋" w:hAnsi="仿宋" w:eastAsia="仿宋" w:cs="仿宋"/>
                <w:sz w:val="24"/>
                <w:szCs w:val="24"/>
              </w:rPr>
            </w:pPr>
            <w:r>
              <w:rPr>
                <w:rStyle w:val="21"/>
                <w:rFonts w:hint="eastAsia" w:ascii="仿宋" w:hAnsi="仿宋" w:eastAsia="仿宋" w:cs="仿宋"/>
                <w:sz w:val="24"/>
                <w:szCs w:val="24"/>
              </w:rPr>
              <w:t>名称</w:t>
            </w:r>
          </w:p>
        </w:tc>
        <w:tc>
          <w:tcPr>
            <w:tcW w:w="1256" w:type="dxa"/>
            <w:tcBorders>
              <w:top w:val="single" w:color="000000" w:sz="6" w:space="0"/>
              <w:left w:val="nil"/>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rFonts w:hint="eastAsia" w:ascii="仿宋" w:hAnsi="仿宋" w:eastAsia="仿宋" w:cs="仿宋"/>
                <w:sz w:val="24"/>
                <w:szCs w:val="24"/>
              </w:rPr>
            </w:pPr>
            <w:r>
              <w:rPr>
                <w:rFonts w:hint="eastAsia" w:ascii="仿宋" w:hAnsi="仿宋" w:eastAsia="仿宋" w:cs="仿宋"/>
                <w:b/>
                <w:sz w:val="24"/>
                <w:szCs w:val="24"/>
                <w:lang w:bidi="en-US"/>
              </w:rPr>
              <w:t>预估送审</w:t>
            </w:r>
            <w:r>
              <w:rPr>
                <w:rStyle w:val="21"/>
                <w:rFonts w:hint="eastAsia" w:ascii="仿宋" w:hAnsi="仿宋" w:eastAsia="仿宋" w:cs="仿宋"/>
                <w:sz w:val="24"/>
                <w:szCs w:val="24"/>
              </w:rPr>
              <w:t>论文篇数</w:t>
            </w:r>
          </w:p>
        </w:tc>
        <w:tc>
          <w:tcPr>
            <w:tcW w:w="1238" w:type="dxa"/>
            <w:tcBorders>
              <w:top w:val="single" w:color="000000" w:sz="6" w:space="0"/>
              <w:left w:val="nil"/>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rFonts w:hint="eastAsia" w:ascii="仿宋" w:hAnsi="仿宋" w:eastAsia="仿宋" w:cs="仿宋"/>
                <w:sz w:val="24"/>
                <w:szCs w:val="24"/>
              </w:rPr>
            </w:pPr>
            <w:r>
              <w:rPr>
                <w:rStyle w:val="21"/>
                <w:rFonts w:hint="eastAsia" w:ascii="仿宋" w:hAnsi="仿宋" w:eastAsia="仿宋" w:cs="仿宋"/>
                <w:sz w:val="24"/>
                <w:szCs w:val="24"/>
              </w:rPr>
              <w:t>每篇论文送审次数</w:t>
            </w:r>
          </w:p>
        </w:tc>
        <w:tc>
          <w:tcPr>
            <w:tcW w:w="1337" w:type="dxa"/>
            <w:tcBorders>
              <w:top w:val="single" w:color="000000" w:sz="6" w:space="0"/>
              <w:left w:val="nil"/>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rFonts w:hint="eastAsia" w:ascii="仿宋" w:hAnsi="仿宋" w:eastAsia="仿宋" w:cs="仿宋"/>
                <w:sz w:val="24"/>
                <w:szCs w:val="24"/>
              </w:rPr>
            </w:pPr>
            <w:r>
              <w:rPr>
                <w:rStyle w:val="21"/>
                <w:rFonts w:hint="eastAsia" w:ascii="仿宋" w:hAnsi="仿宋" w:eastAsia="仿宋" w:cs="仿宋"/>
                <w:sz w:val="24"/>
                <w:szCs w:val="24"/>
              </w:rPr>
              <w:t>预算</w:t>
            </w:r>
            <w:r>
              <w:rPr>
                <w:rStyle w:val="21"/>
                <w:rFonts w:hint="eastAsia" w:ascii="仿宋" w:hAnsi="仿宋" w:eastAsia="仿宋" w:cs="仿宋"/>
                <w:sz w:val="24"/>
                <w:szCs w:val="24"/>
                <w:lang w:eastAsia="zh-CN"/>
              </w:rPr>
              <w:t>单</w:t>
            </w:r>
            <w:r>
              <w:rPr>
                <w:rStyle w:val="21"/>
                <w:rFonts w:hint="eastAsia" w:ascii="仿宋" w:hAnsi="仿宋" w:eastAsia="仿宋" w:cs="仿宋"/>
                <w:sz w:val="24"/>
                <w:szCs w:val="24"/>
              </w:rPr>
              <w:t>价</w:t>
            </w:r>
          </w:p>
        </w:tc>
        <w:tc>
          <w:tcPr>
            <w:tcW w:w="1337" w:type="dxa"/>
            <w:tcBorders>
              <w:top w:val="single" w:color="000000" w:sz="6" w:space="0"/>
              <w:left w:val="nil"/>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rStyle w:val="21"/>
                <w:rFonts w:hint="eastAsia" w:ascii="仿宋" w:hAnsi="仿宋" w:eastAsia="仿宋" w:cs="仿宋"/>
                <w:sz w:val="24"/>
                <w:szCs w:val="24"/>
              </w:rPr>
            </w:pPr>
            <w:r>
              <w:rPr>
                <w:rStyle w:val="21"/>
                <w:rFonts w:hint="eastAsia" w:ascii="仿宋" w:hAnsi="仿宋" w:eastAsia="仿宋" w:cs="仿宋"/>
                <w:sz w:val="24"/>
                <w:szCs w:val="24"/>
              </w:rPr>
              <w:t>预算总价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567" w:type="dxa"/>
            <w:left w:w="105" w:type="dxa"/>
            <w:bottom w:w="567" w:type="dxa"/>
            <w:right w:w="105" w:type="dxa"/>
          </w:tblCellMar>
        </w:tblPrEx>
        <w:trPr>
          <w:trHeight w:val="894" w:hRule="atLeast"/>
        </w:trPr>
        <w:tc>
          <w:tcPr>
            <w:tcW w:w="700" w:type="dxa"/>
            <w:tcBorders>
              <w:top w:val="nil"/>
              <w:left w:val="single" w:color="000000" w:sz="6" w:space="0"/>
              <w:bottom w:val="nil"/>
              <w:right w:val="single" w:color="000000" w:sz="6" w:space="0"/>
            </w:tcBorders>
            <w:tcMar>
              <w:top w:w="0" w:type="dxa"/>
              <w:bottom w:w="0" w:type="dxa"/>
            </w:tcMar>
            <w:vAlign w:val="center"/>
          </w:tcPr>
          <w:p>
            <w:pPr>
              <w:pStyle w:val="16"/>
              <w:widowControl/>
              <w:spacing w:before="225" w:beforeAutospacing="0" w:after="225" w:afterAutospacing="0"/>
              <w:jc w:val="center"/>
              <w:rPr>
                <w:rFonts w:hint="eastAsia" w:ascii="仿宋" w:hAnsi="仿宋" w:eastAsia="仿宋" w:cs="仿宋"/>
                <w:sz w:val="24"/>
                <w:szCs w:val="24"/>
              </w:rPr>
            </w:pPr>
            <w:r>
              <w:rPr>
                <w:rFonts w:hint="eastAsia" w:ascii="仿宋" w:hAnsi="仿宋" w:eastAsia="仿宋" w:cs="仿宋"/>
                <w:sz w:val="24"/>
                <w:szCs w:val="24"/>
              </w:rPr>
              <w:t>1</w:t>
            </w:r>
          </w:p>
        </w:tc>
        <w:tc>
          <w:tcPr>
            <w:tcW w:w="3069" w:type="dxa"/>
            <w:tcBorders>
              <w:top w:val="nil"/>
              <w:left w:val="nil"/>
              <w:bottom w:val="nil"/>
              <w:right w:val="single" w:color="000000" w:sz="6" w:space="0"/>
            </w:tcBorders>
            <w:tcMar>
              <w:top w:w="0" w:type="dxa"/>
              <w:bottom w:w="0" w:type="dxa"/>
            </w:tcMar>
            <w:vAlign w:val="center"/>
          </w:tcPr>
          <w:p>
            <w:pPr>
              <w:pStyle w:val="16"/>
              <w:widowControl/>
              <w:spacing w:before="225" w:beforeAutospacing="0" w:after="225" w:afterAutospacing="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学术学位研究生学位论文</w:t>
            </w:r>
          </w:p>
        </w:tc>
        <w:tc>
          <w:tcPr>
            <w:tcW w:w="1256" w:type="dxa"/>
            <w:tcBorders>
              <w:top w:val="nil"/>
              <w:left w:val="nil"/>
              <w:bottom w:val="nil"/>
              <w:right w:val="single" w:color="000000" w:sz="6" w:space="0"/>
            </w:tcBorders>
            <w:tcMar>
              <w:top w:w="0" w:type="dxa"/>
              <w:bottom w:w="0" w:type="dxa"/>
            </w:tcMar>
            <w:vAlign w:val="center"/>
          </w:tcPr>
          <w:p>
            <w:pPr>
              <w:pStyle w:val="16"/>
              <w:widowControl/>
              <w:spacing w:before="225" w:beforeAutospacing="0" w:after="225" w:afterAutospacing="0"/>
              <w:jc w:val="center"/>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lang w:val="en-US" w:eastAsia="zh-CN"/>
              </w:rPr>
              <w:t>100</w:t>
            </w:r>
            <w:r>
              <w:rPr>
                <w:rFonts w:hint="eastAsia" w:ascii="仿宋" w:hAnsi="仿宋" w:eastAsia="仿宋" w:cs="仿宋"/>
                <w:sz w:val="24"/>
                <w:szCs w:val="24"/>
                <w:shd w:val="clear" w:color="auto" w:fill="FFFFFF"/>
              </w:rPr>
              <w:t>篇</w:t>
            </w:r>
          </w:p>
        </w:tc>
        <w:tc>
          <w:tcPr>
            <w:tcW w:w="1238" w:type="dxa"/>
            <w:tcBorders>
              <w:top w:val="nil"/>
              <w:left w:val="nil"/>
              <w:bottom w:val="nil"/>
              <w:right w:val="single" w:color="000000" w:sz="6" w:space="0"/>
            </w:tcBorders>
            <w:tcMar>
              <w:top w:w="0" w:type="dxa"/>
              <w:bottom w:w="0" w:type="dxa"/>
            </w:tcMar>
            <w:vAlign w:val="center"/>
          </w:tcPr>
          <w:p>
            <w:pPr>
              <w:pStyle w:val="16"/>
              <w:widowControl/>
              <w:spacing w:before="225" w:beforeAutospacing="0" w:after="225" w:afterAutospacing="0"/>
              <w:jc w:val="center"/>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3次</w:t>
            </w:r>
          </w:p>
        </w:tc>
        <w:tc>
          <w:tcPr>
            <w:tcW w:w="1337" w:type="dxa"/>
            <w:tcBorders>
              <w:top w:val="nil"/>
              <w:left w:val="nil"/>
              <w:bottom w:val="nil"/>
              <w:right w:val="single" w:color="000000" w:sz="6" w:space="0"/>
            </w:tcBorders>
            <w:tcMar>
              <w:top w:w="0" w:type="dxa"/>
              <w:bottom w:w="0" w:type="dxa"/>
            </w:tcMar>
            <w:vAlign w:val="center"/>
          </w:tcPr>
          <w:p>
            <w:pPr>
              <w:pStyle w:val="16"/>
              <w:widowControl/>
              <w:spacing w:before="225" w:beforeAutospacing="0" w:after="225" w:afterAutospacing="0"/>
              <w:jc w:val="center"/>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400元</w:t>
            </w:r>
          </w:p>
        </w:tc>
        <w:tc>
          <w:tcPr>
            <w:tcW w:w="1337" w:type="dxa"/>
            <w:tcBorders>
              <w:top w:val="nil"/>
              <w:left w:val="nil"/>
              <w:bottom w:val="nil"/>
              <w:right w:val="single" w:color="000000" w:sz="6" w:space="0"/>
            </w:tcBorders>
            <w:tcMar>
              <w:top w:w="0" w:type="dxa"/>
              <w:bottom w:w="0" w:type="dxa"/>
            </w:tcMar>
            <w:vAlign w:val="center"/>
          </w:tcPr>
          <w:p>
            <w:pPr>
              <w:pStyle w:val="16"/>
              <w:widowControl/>
              <w:spacing w:before="225" w:beforeAutospacing="0" w:after="225" w:afterAutospacing="0"/>
              <w:jc w:val="center"/>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120000</w:t>
            </w:r>
            <w:r>
              <w:rPr>
                <w:rFonts w:hint="eastAsia" w:ascii="仿宋" w:hAnsi="仿宋" w:eastAsia="仿宋" w:cs="仿宋"/>
                <w:sz w:val="24"/>
                <w:szCs w:val="24"/>
                <w:shd w:val="clear" w:color="auto" w:fill="FFFFFF"/>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567" w:type="dxa"/>
            <w:left w:w="105" w:type="dxa"/>
            <w:bottom w:w="567" w:type="dxa"/>
            <w:right w:w="105" w:type="dxa"/>
          </w:tblCellMar>
        </w:tblPrEx>
        <w:trPr>
          <w:trHeight w:val="894" w:hRule="atLeast"/>
        </w:trPr>
        <w:tc>
          <w:tcPr>
            <w:tcW w:w="700" w:type="dxa"/>
            <w:tcBorders>
              <w:top w:val="nil"/>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069" w:type="dxa"/>
            <w:tcBorders>
              <w:top w:val="nil"/>
              <w:left w:val="nil"/>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rPr>
                <w:rFonts w:hint="eastAsia" w:ascii="仿宋" w:hAnsi="仿宋" w:eastAsia="仿宋" w:cs="仿宋"/>
                <w:sz w:val="24"/>
                <w:szCs w:val="24"/>
                <w:shd w:val="clear" w:color="auto" w:fill="FFFFFF"/>
                <w:lang w:eastAsia="zh-CN"/>
              </w:rPr>
            </w:pPr>
            <w:r>
              <w:rPr>
                <w:rFonts w:hint="eastAsia" w:ascii="仿宋" w:hAnsi="仿宋" w:eastAsia="仿宋" w:cs="仿宋"/>
                <w:sz w:val="24"/>
                <w:szCs w:val="24"/>
                <w:shd w:val="clear" w:color="auto" w:fill="FFFFFF"/>
                <w:lang w:eastAsia="zh-CN"/>
              </w:rPr>
              <w:t>专业学位研究生学位论文</w:t>
            </w:r>
          </w:p>
        </w:tc>
        <w:tc>
          <w:tcPr>
            <w:tcW w:w="1256" w:type="dxa"/>
            <w:tcBorders>
              <w:top w:val="nil"/>
              <w:left w:val="nil"/>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430</w:t>
            </w:r>
            <w:r>
              <w:rPr>
                <w:rFonts w:hint="eastAsia" w:ascii="仿宋" w:hAnsi="仿宋" w:eastAsia="仿宋" w:cs="仿宋"/>
                <w:sz w:val="24"/>
                <w:szCs w:val="24"/>
                <w:shd w:val="clear" w:color="auto" w:fill="FFFFFF"/>
              </w:rPr>
              <w:t>篇</w:t>
            </w:r>
          </w:p>
        </w:tc>
        <w:tc>
          <w:tcPr>
            <w:tcW w:w="1238" w:type="dxa"/>
            <w:tcBorders>
              <w:top w:val="nil"/>
              <w:left w:val="nil"/>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2次</w:t>
            </w:r>
          </w:p>
        </w:tc>
        <w:tc>
          <w:tcPr>
            <w:tcW w:w="1337" w:type="dxa"/>
            <w:tcBorders>
              <w:top w:val="nil"/>
              <w:left w:val="nil"/>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400元</w:t>
            </w:r>
          </w:p>
        </w:tc>
        <w:tc>
          <w:tcPr>
            <w:tcW w:w="1337" w:type="dxa"/>
            <w:tcBorders>
              <w:top w:val="nil"/>
              <w:left w:val="nil"/>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344000元</w:t>
            </w:r>
          </w:p>
        </w:tc>
      </w:tr>
    </w:tbl>
    <w:p>
      <w:p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5.</w:t>
      </w:r>
      <w:r>
        <w:rPr>
          <w:rFonts w:hint="eastAsia" w:ascii="仿宋" w:hAnsi="仿宋" w:eastAsia="仿宋"/>
          <w:b/>
          <w:sz w:val="24"/>
          <w:lang w:eastAsia="zh-CN"/>
        </w:rPr>
        <w:t>采购清单</w:t>
      </w:r>
      <w:r>
        <w:rPr>
          <w:rFonts w:hint="eastAsia" w:ascii="仿宋" w:hAnsi="仿宋" w:eastAsia="仿宋"/>
          <w:sz w:val="24"/>
          <w:lang w:eastAsia="zh-CN"/>
        </w:rPr>
        <w:t>(包括货物名称、规格要求、采购数量、采购预算如下)</w:t>
      </w:r>
      <w:bookmarkStart w:id="0" w:name="_GoBack"/>
      <w:bookmarkEnd w:id="0"/>
    </w:p>
    <w:p>
      <w:pPr>
        <w:spacing w:after="0" w:line="240" w:lineRule="auto"/>
        <w:rPr>
          <w:rFonts w:ascii="仿宋" w:hAnsi="仿宋" w:eastAsia="仿宋"/>
          <w:sz w:val="24"/>
          <w:lang w:eastAsia="zh-CN"/>
        </w:rPr>
      </w:pPr>
    </w:p>
    <w:p>
      <w:p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6.</w:t>
      </w:r>
      <w:r>
        <w:rPr>
          <w:rFonts w:hint="eastAsia" w:ascii="仿宋" w:hAnsi="仿宋" w:eastAsia="仿宋"/>
          <w:b/>
          <w:sz w:val="24"/>
          <w:lang w:eastAsia="zh-CN"/>
        </w:rPr>
        <w:t>服务要求</w:t>
      </w:r>
    </w:p>
    <w:p>
      <w:pPr>
        <w:spacing w:after="0" w:line="240" w:lineRule="auto"/>
        <w:ind w:firstLine="470" w:firstLineChars="196"/>
        <w:rPr>
          <w:rFonts w:ascii="仿宋" w:hAnsi="仿宋" w:eastAsia="仿宋" w:cs="Times New Roman"/>
          <w:sz w:val="24"/>
          <w:lang w:eastAsia="zh-CN"/>
        </w:rPr>
      </w:pPr>
      <w:r>
        <w:rPr>
          <w:rFonts w:hint="eastAsia" w:ascii="仿宋" w:hAnsi="仿宋" w:eastAsia="仿宋" w:cs="Times New Roman"/>
          <w:sz w:val="24"/>
          <w:lang w:eastAsia="zh-CN"/>
        </w:rPr>
        <w:t>（一）委托服务方应负责提供智能、精准、高效、安全的学位论文质量监测服务平台，满足学校学位论文评议功能需求，包括学位论文信息及材料上传、评阅书设置、专家自动遴选或补充遴选、评议结果下载等。</w:t>
      </w:r>
    </w:p>
    <w:p>
      <w:pPr>
        <w:spacing w:after="0" w:line="240" w:lineRule="auto"/>
        <w:ind w:firstLine="470" w:firstLineChars="196"/>
        <w:rPr>
          <w:rFonts w:ascii="仿宋" w:hAnsi="仿宋" w:eastAsia="仿宋" w:cs="Times New Roman"/>
          <w:sz w:val="24"/>
          <w:lang w:eastAsia="zh-CN"/>
        </w:rPr>
      </w:pPr>
      <w:r>
        <w:rPr>
          <w:rFonts w:hint="eastAsia" w:ascii="仿宋" w:hAnsi="仿宋" w:eastAsia="仿宋" w:cs="Times New Roman"/>
          <w:sz w:val="24"/>
          <w:lang w:eastAsia="zh-CN"/>
        </w:rPr>
        <w:t>（二）委托服务方须及时响应和解决学校提出的平台技术问题，定期收集研判甲方的功能需求和建议，对平台功能及时升级优化，为学校自主开展学位论文评议工作提供技术保障。</w:t>
      </w:r>
    </w:p>
    <w:p>
      <w:pPr>
        <w:spacing w:after="0" w:line="240" w:lineRule="auto"/>
        <w:ind w:firstLine="470" w:firstLineChars="196"/>
        <w:rPr>
          <w:rFonts w:ascii="仿宋" w:hAnsi="仿宋" w:eastAsia="仿宋" w:cs="Times New Roman"/>
          <w:sz w:val="24"/>
          <w:lang w:eastAsia="zh-CN"/>
        </w:rPr>
      </w:pPr>
      <w:r>
        <w:rPr>
          <w:rFonts w:hint="eastAsia" w:ascii="仿宋" w:hAnsi="仿宋" w:eastAsia="仿宋" w:cs="Times New Roman"/>
          <w:sz w:val="24"/>
          <w:lang w:eastAsia="zh-CN"/>
        </w:rPr>
        <w:t>（三）委托服务方负责提供覆盖全国的、类型丰富、层次多样的高水平硕士学位论文评议专家资源，专家资源达到</w:t>
      </w:r>
      <w:r>
        <w:rPr>
          <w:rFonts w:hint="eastAsia" w:ascii="仿宋" w:hAnsi="仿宋" w:eastAsia="仿宋" w:cs="Times New Roman"/>
          <w:sz w:val="24"/>
          <w:lang w:val="en-US" w:eastAsia="zh-CN"/>
        </w:rPr>
        <w:t>35万人以上，涉及我校培养的各个专业领域；</w:t>
      </w:r>
      <w:r>
        <w:rPr>
          <w:rFonts w:hint="eastAsia" w:ascii="仿宋" w:hAnsi="仿宋" w:eastAsia="仿宋" w:cs="Times New Roman"/>
          <w:sz w:val="24"/>
          <w:lang w:eastAsia="zh-CN"/>
        </w:rPr>
        <w:t>定期补充专家资源，对专家信息进行更新，保证专家资源充沛，专家信息准确。</w:t>
      </w:r>
    </w:p>
    <w:p>
      <w:pPr>
        <w:spacing w:after="0" w:line="240" w:lineRule="auto"/>
        <w:ind w:firstLine="470" w:firstLineChars="196"/>
        <w:rPr>
          <w:rFonts w:ascii="仿宋" w:hAnsi="仿宋" w:eastAsia="仿宋" w:cs="Times New Roman"/>
          <w:sz w:val="24"/>
          <w:lang w:eastAsia="zh-CN"/>
        </w:rPr>
      </w:pPr>
      <w:r>
        <w:rPr>
          <w:rFonts w:hint="eastAsia" w:ascii="仿宋" w:hAnsi="仿宋" w:eastAsia="仿宋" w:cs="Times New Roman"/>
          <w:sz w:val="24"/>
          <w:lang w:eastAsia="zh-CN"/>
        </w:rPr>
        <w:t>（四）委托服务方负责保障学校学位论文评议过程中平台与评议专家间的信息交互，通过平台向专家发送相应消息通知或提醒等；协助甲方与参评专家沟通解决学术意见以外的问题，如：评议意见文字表述或格式错误、平台操作等问题。</w:t>
      </w:r>
    </w:p>
    <w:p>
      <w:pPr>
        <w:spacing w:after="0" w:line="240" w:lineRule="auto"/>
        <w:ind w:firstLine="470" w:firstLineChars="196"/>
        <w:rPr>
          <w:rFonts w:ascii="仿宋" w:hAnsi="仿宋" w:eastAsia="仿宋" w:cs="Times New Roman"/>
          <w:sz w:val="24"/>
          <w:lang w:eastAsia="zh-CN"/>
        </w:rPr>
      </w:pPr>
      <w:r>
        <w:rPr>
          <w:rFonts w:hint="eastAsia" w:ascii="仿宋" w:hAnsi="仿宋" w:eastAsia="仿宋" w:cs="Times New Roman"/>
          <w:sz w:val="24"/>
          <w:lang w:eastAsia="zh-CN"/>
        </w:rPr>
        <w:t>（五）委托服务方负责通过平台向学校学位论文评议专家提供参评确认、评议材料阅读、评阅意见填写、评议结果提交等功能。</w:t>
      </w:r>
    </w:p>
    <w:p>
      <w:pPr>
        <w:spacing w:after="0" w:line="240" w:lineRule="auto"/>
        <w:ind w:firstLine="470" w:firstLineChars="196"/>
        <w:rPr>
          <w:rFonts w:ascii="仿宋" w:hAnsi="仿宋" w:eastAsia="仿宋" w:cs="Times New Roman"/>
          <w:sz w:val="24"/>
          <w:lang w:eastAsia="zh-CN"/>
        </w:rPr>
      </w:pPr>
      <w:r>
        <w:rPr>
          <w:rFonts w:hint="eastAsia" w:ascii="仿宋" w:hAnsi="仿宋" w:eastAsia="仿宋" w:cs="Times New Roman"/>
          <w:sz w:val="24"/>
          <w:lang w:eastAsia="zh-CN"/>
        </w:rPr>
        <w:t>（六）委托服务方为甲方学位论文自主评议工作提供辅助服务，协助学校一级账户管理员解决在送评过程中遇到的平台操作问题，关注学位论文评议进度，及时提醒学校完成开始专家遴选操作20天以上的硕士学位论文的送评流程（间隔5天以上未进行遴选专家操作的学位论文除外）。</w:t>
      </w:r>
    </w:p>
    <w:p>
      <w:pPr>
        <w:spacing w:after="0" w:line="240" w:lineRule="auto"/>
        <w:ind w:firstLine="470" w:firstLineChars="196"/>
        <w:rPr>
          <w:rFonts w:ascii="仿宋" w:hAnsi="仿宋" w:eastAsia="仿宋" w:cs="Times New Roman"/>
          <w:sz w:val="24"/>
          <w:lang w:eastAsia="zh-CN"/>
        </w:rPr>
      </w:pPr>
      <w:r>
        <w:rPr>
          <w:rFonts w:hint="eastAsia" w:ascii="仿宋" w:hAnsi="仿宋" w:eastAsia="仿宋" w:cs="Times New Roman"/>
          <w:sz w:val="24"/>
          <w:lang w:eastAsia="zh-CN"/>
        </w:rPr>
        <w:t>（七）委托服务方在本协议期满后，对协议期内已收回全部专家评议意见的学位论文进行数据归档，归档后甲方可查看、下载学位论文及专家评议意见。</w:t>
      </w:r>
    </w:p>
    <w:p>
      <w:pPr>
        <w:spacing w:after="0" w:line="240" w:lineRule="auto"/>
        <w:ind w:firstLine="470" w:firstLineChars="196"/>
        <w:rPr>
          <w:rFonts w:ascii="仿宋" w:hAnsi="仿宋" w:eastAsia="仿宋" w:cs="Times New Roman"/>
          <w:sz w:val="24"/>
          <w:lang w:eastAsia="zh-CN"/>
        </w:rPr>
      </w:pPr>
      <w:r>
        <w:rPr>
          <w:rFonts w:hint="eastAsia" w:ascii="仿宋" w:hAnsi="仿宋" w:eastAsia="仿宋" w:cs="Times New Roman"/>
          <w:sz w:val="24"/>
          <w:lang w:eastAsia="zh-CN"/>
        </w:rPr>
        <w:t>（八）委托服务方为甲方提供年度学位论文评议情况统计报告，内容包括学位论文送评情况、学位论文评议结果、服务费使用情况，对学校学位论文质量监测工作的建议等。</w:t>
      </w:r>
    </w:p>
    <w:p>
      <w:pPr>
        <w:spacing w:after="0" w:line="240" w:lineRule="auto"/>
        <w:ind w:firstLine="470" w:firstLineChars="196"/>
        <w:rPr>
          <w:rFonts w:ascii="仿宋" w:hAnsi="仿宋" w:eastAsia="仿宋" w:cs="Times New Roman"/>
          <w:sz w:val="24"/>
          <w:lang w:eastAsia="zh-CN"/>
        </w:rPr>
      </w:pPr>
      <w:r>
        <w:rPr>
          <w:rFonts w:hint="eastAsia" w:ascii="仿宋" w:hAnsi="仿宋" w:eastAsia="仿宋" w:cs="Times New Roman"/>
          <w:sz w:val="24"/>
          <w:lang w:eastAsia="zh-CN"/>
        </w:rPr>
        <w:t>（九）委托服务方负责每年对学校一级账户管理员进行至少一次平台操作培训，为学校提供和更新平台操作规程等；如学校需要，委托服务方每年可为甲方提供一次个性化培训或二级账户管理员专项培训服务。</w:t>
      </w:r>
    </w:p>
    <w:p>
      <w:pPr>
        <w:spacing w:after="0" w:line="240" w:lineRule="auto"/>
        <w:ind w:firstLine="480" w:firstLineChars="200"/>
        <w:rPr>
          <w:rFonts w:hint="eastAsia" w:ascii="仿宋" w:hAnsi="仿宋" w:eastAsia="仿宋"/>
          <w:sz w:val="24"/>
          <w:lang w:eastAsia="zh-CN"/>
        </w:rPr>
      </w:pPr>
      <w:r>
        <w:rPr>
          <w:rFonts w:hint="eastAsia" w:ascii="仿宋" w:hAnsi="仿宋" w:eastAsia="仿宋"/>
          <w:sz w:val="24"/>
          <w:lang w:eastAsia="zh-CN"/>
        </w:rPr>
        <w:t>（十）委托服务方负责及时向本协议有效期内实际参与学位论文评议的专家支付劳务费。</w:t>
      </w:r>
    </w:p>
    <w:p>
      <w:pPr>
        <w:bidi w:val="0"/>
        <w:ind w:firstLine="480" w:firstLineChars="200"/>
        <w:rPr>
          <w:lang w:eastAsia="zh-CN"/>
        </w:rPr>
      </w:pPr>
      <w:r>
        <w:rPr>
          <w:rFonts w:hint="eastAsia" w:ascii="仿宋" w:hAnsi="仿宋" w:eastAsia="仿宋"/>
          <w:sz w:val="24"/>
          <w:lang w:eastAsia="zh-CN"/>
        </w:rPr>
        <w:t>（十一）委托服务方具有八年以上相关服务经验，与大多数双一流高校有相关合作，可以提供高质量、高水平服务。</w:t>
      </w:r>
    </w:p>
    <w:p>
      <w:p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（十二）与学位论文质量监测服务相关的其他义务。</w:t>
      </w:r>
    </w:p>
    <w:p>
      <w:pPr>
        <w:spacing w:after="0" w:line="240" w:lineRule="auto"/>
        <w:ind w:firstLine="482" w:firstLineChars="200"/>
        <w:rPr>
          <w:rFonts w:ascii="仿宋" w:hAnsi="仿宋" w:eastAsia="仿宋"/>
          <w:b/>
          <w:sz w:val="24"/>
          <w:lang w:eastAsia="zh-CN"/>
        </w:rPr>
      </w:pPr>
      <w:r>
        <w:rPr>
          <w:rFonts w:hint="eastAsia" w:ascii="仿宋" w:hAnsi="仿宋" w:eastAsia="仿宋"/>
          <w:b/>
          <w:sz w:val="24"/>
          <w:lang w:eastAsia="zh-CN"/>
        </w:rPr>
        <w:t>二、谈判供应商：教育部学位与研究生教育发展中心。</w:t>
      </w:r>
    </w:p>
    <w:p>
      <w:pPr>
        <w:spacing w:after="0" w:line="240" w:lineRule="auto"/>
        <w:ind w:firstLine="482" w:firstLineChars="200"/>
        <w:rPr>
          <w:rFonts w:ascii="仿宋" w:hAnsi="仿宋" w:eastAsia="仿宋"/>
          <w:b/>
          <w:sz w:val="24"/>
          <w:lang w:eastAsia="zh-CN"/>
        </w:rPr>
      </w:pPr>
      <w:r>
        <w:rPr>
          <w:rFonts w:hint="eastAsia" w:ascii="仿宋" w:hAnsi="仿宋" w:eastAsia="仿宋"/>
          <w:b/>
          <w:sz w:val="24"/>
          <w:lang w:eastAsia="zh-CN"/>
        </w:rPr>
        <w:t>三、投标文件要求</w:t>
      </w:r>
    </w:p>
    <w:p>
      <w:p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投标人的投标文件中应包含以下内容（投标文件密封，一式两份，一正一副，胶装成册。所有证件均须真实、有效，原件、复印件均须加盖公章，缺少以下任意一项内容即作无效标处理）：</w:t>
      </w:r>
    </w:p>
    <w:p>
      <w:pPr>
        <w:numPr>
          <w:ilvl w:val="0"/>
          <w:numId w:val="1"/>
        </w:num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投标报价清单(含服务费、咨询费、税金等全部费用。项目总价高于采购预算者视为无效报价。报价以人民币计，并以大写为准。）</w:t>
      </w:r>
    </w:p>
    <w:p>
      <w:p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2.营业执照副本复印件；</w:t>
      </w:r>
    </w:p>
    <w:p>
      <w:p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3.</w:t>
      </w:r>
      <w:r>
        <w:rPr>
          <w:rFonts w:hint="eastAsia" w:ascii="仿宋" w:hAnsi="仿宋" w:eastAsia="仿宋" w:cs="仿宋_GB2312"/>
          <w:sz w:val="24"/>
          <w:lang w:eastAsia="zh-CN"/>
        </w:rPr>
        <w:t>开户银行、户名、账号（加盖公章）</w:t>
      </w:r>
      <w:r>
        <w:rPr>
          <w:rFonts w:hint="eastAsia" w:ascii="仿宋" w:hAnsi="仿宋" w:eastAsia="仿宋"/>
          <w:sz w:val="24"/>
          <w:lang w:eastAsia="zh-CN"/>
        </w:rPr>
        <w:t>；</w:t>
      </w:r>
    </w:p>
    <w:p>
      <w:p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4.投标代表身份证复印件；如非法定代表人投标，另提供法定代表人授权委托书原件、法定代表人身份证复印件；</w:t>
      </w:r>
      <w:r>
        <w:rPr>
          <w:rFonts w:hint="eastAsia" w:ascii="仿宋" w:hAnsi="仿宋" w:eastAsia="仿宋" w:cs="仿宋_GB2312"/>
          <w:sz w:val="24"/>
          <w:lang w:eastAsia="zh-CN"/>
        </w:rPr>
        <w:t>投标代表需提供在本单位近三个月缴纳社保的凭证;</w:t>
      </w:r>
    </w:p>
    <w:p>
      <w:p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5.投标人服务承诺书；</w:t>
      </w:r>
    </w:p>
    <w:p>
      <w:p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6.</w:t>
      </w:r>
      <w:r>
        <w:rPr>
          <w:rFonts w:hint="eastAsia" w:ascii="仿宋" w:hAnsi="仿宋" w:eastAsia="仿宋" w:cs="仿宋_GB2312"/>
          <w:sz w:val="24"/>
          <w:lang w:eastAsia="zh-CN"/>
        </w:rPr>
        <w:t>其他相关材料（</w:t>
      </w:r>
      <w:r>
        <w:rPr>
          <w:rFonts w:hint="eastAsia" w:ascii="仿宋" w:hAnsi="仿宋" w:eastAsia="仿宋"/>
          <w:sz w:val="24"/>
          <w:lang w:eastAsia="zh-CN"/>
        </w:rPr>
        <w:t>投标人认为需要提供的材料</w:t>
      </w:r>
      <w:r>
        <w:rPr>
          <w:rFonts w:hint="eastAsia" w:ascii="仿宋" w:hAnsi="仿宋" w:eastAsia="仿宋" w:cs="仿宋_GB2312"/>
          <w:sz w:val="24"/>
          <w:lang w:eastAsia="zh-CN"/>
        </w:rPr>
        <w:t>）。</w:t>
      </w:r>
    </w:p>
    <w:p>
      <w:pPr>
        <w:widowControl w:val="0"/>
        <w:spacing w:after="0" w:line="240" w:lineRule="auto"/>
        <w:ind w:firstLine="472" w:firstLineChars="196"/>
        <w:rPr>
          <w:rFonts w:ascii="仿宋" w:hAnsi="仿宋" w:eastAsia="仿宋"/>
          <w:b/>
          <w:sz w:val="24"/>
          <w:lang w:eastAsia="zh-CN"/>
        </w:rPr>
      </w:pPr>
      <w:r>
        <w:rPr>
          <w:rFonts w:hint="eastAsia" w:ascii="仿宋" w:hAnsi="仿宋" w:eastAsia="仿宋"/>
          <w:b/>
          <w:sz w:val="24"/>
          <w:lang w:eastAsia="zh-CN"/>
        </w:rPr>
        <w:t>四、开标时间及地点</w:t>
      </w:r>
    </w:p>
    <w:p>
      <w:pPr>
        <w:widowControl w:val="0"/>
        <w:spacing w:after="0" w:line="240" w:lineRule="auto"/>
        <w:ind w:firstLine="470" w:firstLineChars="196"/>
        <w:rPr>
          <w:rFonts w:ascii="仿宋" w:hAnsi="仿宋" w:eastAsia="仿宋"/>
          <w:sz w:val="24"/>
          <w:lang w:eastAsia="zh-CN"/>
        </w:rPr>
      </w:pPr>
      <w:r>
        <w:rPr>
          <w:rFonts w:hint="eastAsia" w:ascii="仿宋" w:hAnsi="仿宋" w:eastAsia="仿宋"/>
          <w:sz w:val="24"/>
          <w:lang w:eastAsia="zh-CN"/>
        </w:rPr>
        <w:t>1.开标时间：</w:t>
      </w:r>
      <w:r>
        <w:rPr>
          <w:rFonts w:hint="eastAsia" w:ascii="仿宋" w:hAnsi="仿宋" w:eastAsia="仿宋"/>
          <w:b/>
          <w:sz w:val="24"/>
          <w:lang w:eastAsia="zh-CN"/>
        </w:rPr>
        <w:t>202</w:t>
      </w:r>
      <w:r>
        <w:rPr>
          <w:rFonts w:hint="eastAsia" w:ascii="仿宋" w:hAnsi="仿宋" w:eastAsia="仿宋"/>
          <w:b/>
          <w:sz w:val="24"/>
          <w:lang w:val="en-US" w:eastAsia="zh-CN"/>
        </w:rPr>
        <w:t>3</w:t>
      </w:r>
      <w:r>
        <w:rPr>
          <w:rFonts w:hint="eastAsia" w:ascii="仿宋" w:hAnsi="仿宋" w:eastAsia="仿宋"/>
          <w:b/>
          <w:sz w:val="24"/>
          <w:lang w:eastAsia="zh-CN"/>
        </w:rPr>
        <w:t>年3月</w:t>
      </w:r>
      <w:r>
        <w:rPr>
          <w:rFonts w:hint="eastAsia" w:ascii="仿宋" w:hAnsi="仿宋" w:eastAsia="仿宋"/>
          <w:b/>
          <w:sz w:val="24"/>
          <w:lang w:val="en-US" w:eastAsia="zh-CN"/>
        </w:rPr>
        <w:t>23</w:t>
      </w:r>
      <w:r>
        <w:rPr>
          <w:rFonts w:hint="eastAsia" w:ascii="仿宋" w:hAnsi="仿宋" w:eastAsia="仿宋"/>
          <w:b/>
          <w:sz w:val="24"/>
          <w:lang w:eastAsia="zh-CN"/>
        </w:rPr>
        <w:t>日</w:t>
      </w:r>
      <w:r>
        <w:rPr>
          <w:rFonts w:hint="eastAsia" w:ascii="仿宋" w:hAnsi="仿宋" w:eastAsia="仿宋"/>
          <w:b/>
          <w:sz w:val="24"/>
          <w:lang w:val="en-US" w:eastAsia="zh-CN"/>
        </w:rPr>
        <w:t>9</w:t>
      </w:r>
      <w:r>
        <w:rPr>
          <w:rFonts w:hint="eastAsia" w:ascii="仿宋" w:hAnsi="仿宋" w:eastAsia="仿宋"/>
          <w:b/>
          <w:sz w:val="24"/>
          <w:lang w:eastAsia="zh-CN"/>
        </w:rPr>
        <w:t>:00。</w:t>
      </w:r>
    </w:p>
    <w:p>
      <w:pPr>
        <w:spacing w:after="0" w:line="240" w:lineRule="auto"/>
        <w:rPr>
          <w:rFonts w:ascii="仿宋" w:hAnsi="仿宋" w:eastAsia="仿宋"/>
          <w:sz w:val="24"/>
          <w:lang w:eastAsia="zh-CN"/>
        </w:rPr>
      </w:pPr>
      <w:r>
        <w:rPr>
          <w:rFonts w:hint="eastAsia" w:ascii="仿宋" w:hAnsi="仿宋" w:eastAsia="仿宋"/>
          <w:sz w:val="24"/>
          <w:lang w:eastAsia="zh-CN"/>
        </w:rPr>
        <w:t xml:space="preserve">    2.开标地点：湖州市二环东路759号湖州师范学院东校区明达楼204室。</w:t>
      </w:r>
    </w:p>
    <w:p>
      <w:p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3.联系人：徐老师；电话：0572-2322188。</w:t>
      </w:r>
    </w:p>
    <w:p>
      <w:pPr>
        <w:spacing w:after="0" w:line="240" w:lineRule="auto"/>
        <w:ind w:firstLine="472" w:firstLineChars="196"/>
        <w:rPr>
          <w:rFonts w:ascii="仿宋" w:hAnsi="仿宋" w:eastAsia="仿宋"/>
          <w:b/>
          <w:sz w:val="24"/>
          <w:lang w:eastAsia="zh-CN"/>
        </w:rPr>
      </w:pPr>
      <w:r>
        <w:rPr>
          <w:rFonts w:hint="eastAsia" w:ascii="仿宋" w:hAnsi="仿宋" w:eastAsia="仿宋"/>
          <w:b/>
          <w:sz w:val="24"/>
          <w:lang w:eastAsia="zh-CN"/>
        </w:rPr>
        <w:t>五、中标办法</w:t>
      </w:r>
    </w:p>
    <w:p>
      <w:p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根据报价、服务承诺等确定拟中标人。</w:t>
      </w:r>
    </w:p>
    <w:p>
      <w:pPr>
        <w:spacing w:after="0" w:line="240" w:lineRule="auto"/>
        <w:ind w:firstLine="472" w:firstLineChars="196"/>
        <w:rPr>
          <w:rFonts w:ascii="仿宋" w:hAnsi="仿宋" w:eastAsia="仿宋"/>
          <w:b/>
          <w:sz w:val="24"/>
          <w:lang w:eastAsia="zh-CN"/>
        </w:rPr>
      </w:pPr>
      <w:r>
        <w:rPr>
          <w:rFonts w:hint="eastAsia" w:ascii="仿宋" w:hAnsi="仿宋" w:eastAsia="仿宋"/>
          <w:b/>
          <w:sz w:val="24"/>
          <w:lang w:eastAsia="zh-CN"/>
        </w:rPr>
        <w:t>六、付款金额及方式</w:t>
      </w:r>
    </w:p>
    <w:p>
      <w:p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（一）支付金额：按照论文实际送审篇数进行结算，支付金额=学位论文实际篇数*次数*中标单价。</w:t>
      </w:r>
    </w:p>
    <w:p>
      <w:p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（二）支付方式：采取分期支付方式。第一次支付金额按照中标总价的60%，于202</w:t>
      </w:r>
      <w:r>
        <w:rPr>
          <w:rFonts w:hint="eastAsia" w:ascii="仿宋" w:hAnsi="仿宋" w:eastAsia="仿宋"/>
          <w:sz w:val="24"/>
          <w:lang w:val="en-US" w:eastAsia="zh-CN"/>
        </w:rPr>
        <w:t>3</w:t>
      </w:r>
      <w:r>
        <w:rPr>
          <w:rFonts w:hint="eastAsia" w:ascii="仿宋" w:hAnsi="仿宋" w:eastAsia="仿宋"/>
          <w:sz w:val="24"/>
          <w:lang w:eastAsia="zh-CN"/>
        </w:rPr>
        <w:t>年4月30日前完成支付；第二次支付金额中标总价的30%，202</w:t>
      </w:r>
      <w:r>
        <w:rPr>
          <w:rFonts w:hint="eastAsia" w:ascii="仿宋" w:hAnsi="仿宋" w:eastAsia="仿宋"/>
          <w:sz w:val="24"/>
          <w:lang w:val="en-US" w:eastAsia="zh-CN"/>
        </w:rPr>
        <w:t>3</w:t>
      </w:r>
      <w:r>
        <w:rPr>
          <w:rFonts w:hint="eastAsia" w:ascii="仿宋" w:hAnsi="仿宋" w:eastAsia="仿宋"/>
          <w:sz w:val="24"/>
          <w:lang w:eastAsia="zh-CN"/>
        </w:rPr>
        <w:t>年于10月31日前完成支付；第三次支付实际送审论文服务费的余款，于202</w:t>
      </w:r>
      <w:r>
        <w:rPr>
          <w:rFonts w:hint="eastAsia" w:ascii="仿宋" w:hAnsi="仿宋" w:eastAsia="仿宋"/>
          <w:sz w:val="24"/>
          <w:lang w:val="en-US" w:eastAsia="zh-CN"/>
        </w:rPr>
        <w:t>3</w:t>
      </w:r>
      <w:r>
        <w:rPr>
          <w:rFonts w:hint="eastAsia" w:ascii="仿宋" w:hAnsi="仿宋" w:eastAsia="仿宋"/>
          <w:sz w:val="24"/>
          <w:lang w:eastAsia="zh-CN"/>
        </w:rPr>
        <w:t>年12月</w:t>
      </w:r>
      <w:r>
        <w:rPr>
          <w:rFonts w:hint="eastAsia" w:ascii="仿宋" w:hAnsi="仿宋" w:eastAsia="仿宋"/>
          <w:sz w:val="24"/>
          <w:lang w:val="en-US" w:eastAsia="zh-CN"/>
        </w:rPr>
        <w:t>31</w:t>
      </w:r>
      <w:r>
        <w:rPr>
          <w:rFonts w:hint="eastAsia" w:ascii="仿宋" w:hAnsi="仿宋" w:eastAsia="仿宋"/>
          <w:sz w:val="24"/>
          <w:lang w:eastAsia="zh-CN"/>
        </w:rPr>
        <w:t>日前完成支付。在每次付款前，中标人应依法依规向采购人开具相应金额的发票。</w:t>
      </w:r>
    </w:p>
    <w:p>
      <w:pPr>
        <w:spacing w:after="0" w:line="240" w:lineRule="auto"/>
        <w:ind w:firstLine="482" w:firstLineChars="200"/>
        <w:rPr>
          <w:rFonts w:ascii="仿宋" w:hAnsi="仿宋" w:eastAsia="仿宋"/>
          <w:b/>
          <w:sz w:val="24"/>
          <w:lang w:eastAsia="zh-CN"/>
        </w:rPr>
      </w:pPr>
    </w:p>
    <w:p>
      <w:pPr>
        <w:spacing w:after="0" w:line="240" w:lineRule="auto"/>
        <w:ind w:firstLine="482" w:firstLineChars="200"/>
        <w:rPr>
          <w:rFonts w:ascii="仿宋" w:hAnsi="仿宋" w:eastAsia="仿宋"/>
          <w:b/>
          <w:sz w:val="24"/>
          <w:lang w:eastAsia="zh-CN"/>
        </w:rPr>
      </w:pPr>
      <w:r>
        <w:rPr>
          <w:rFonts w:hint="eastAsia" w:ascii="仿宋" w:hAnsi="仿宋" w:eastAsia="仿宋"/>
          <w:b/>
          <w:sz w:val="24"/>
          <w:lang w:eastAsia="zh-CN"/>
        </w:rPr>
        <w:t>附件1：投标报价清单</w:t>
      </w:r>
    </w:p>
    <w:p>
      <w:pPr>
        <w:spacing w:after="0" w:line="240" w:lineRule="auto"/>
        <w:ind w:firstLine="480" w:firstLineChars="200"/>
        <w:jc w:val="right"/>
        <w:rPr>
          <w:rFonts w:ascii="仿宋" w:hAnsi="仿宋" w:eastAsia="仿宋"/>
          <w:sz w:val="24"/>
          <w:lang w:eastAsia="zh-CN"/>
        </w:rPr>
      </w:pPr>
    </w:p>
    <w:p>
      <w:pPr>
        <w:spacing w:after="0" w:line="240" w:lineRule="auto"/>
        <w:ind w:firstLine="480" w:firstLineChars="200"/>
        <w:jc w:val="right"/>
        <w:rPr>
          <w:rFonts w:ascii="仿宋" w:hAnsi="仿宋" w:eastAsia="仿宋"/>
          <w:sz w:val="24"/>
          <w:lang w:eastAsia="zh-CN"/>
        </w:rPr>
      </w:pPr>
      <w:r>
        <w:rPr>
          <w:rFonts w:hint="eastAsia" w:ascii="仿宋" w:hAnsi="仿宋" w:eastAsia="仿宋"/>
          <w:sz w:val="24"/>
          <w:lang w:eastAsia="zh-CN"/>
        </w:rPr>
        <w:t>湖州师范学院采购中心</w:t>
      </w:r>
    </w:p>
    <w:p>
      <w:pPr>
        <w:spacing w:after="0" w:line="240" w:lineRule="auto"/>
        <w:ind w:firstLine="480" w:firstLineChars="200"/>
        <w:jc w:val="right"/>
        <w:rPr>
          <w:rFonts w:ascii="仿宋" w:hAnsi="仿宋" w:eastAsia="仿宋"/>
          <w:sz w:val="24"/>
          <w:lang w:eastAsia="zh-CN"/>
        </w:rPr>
      </w:pPr>
      <w:r>
        <w:rPr>
          <w:rFonts w:hint="eastAsia" w:ascii="仿宋" w:hAnsi="仿宋" w:eastAsia="仿宋"/>
          <w:sz w:val="24"/>
          <w:lang w:eastAsia="zh-CN"/>
        </w:rPr>
        <w:t xml:space="preserve">           202</w:t>
      </w:r>
      <w:r>
        <w:rPr>
          <w:rFonts w:hint="eastAsia" w:ascii="仿宋" w:hAnsi="仿宋" w:eastAsia="仿宋"/>
          <w:sz w:val="24"/>
          <w:lang w:val="en-US" w:eastAsia="zh-CN"/>
        </w:rPr>
        <w:t>3</w:t>
      </w:r>
      <w:r>
        <w:rPr>
          <w:rFonts w:hint="eastAsia" w:ascii="仿宋" w:hAnsi="仿宋" w:eastAsia="仿宋"/>
          <w:sz w:val="24"/>
          <w:lang w:eastAsia="zh-CN"/>
        </w:rPr>
        <w:t>年3月</w:t>
      </w:r>
      <w:r>
        <w:rPr>
          <w:rFonts w:hint="eastAsia" w:ascii="仿宋" w:hAnsi="仿宋" w:eastAsia="仿宋"/>
          <w:sz w:val="24"/>
          <w:lang w:val="en-US" w:eastAsia="zh-CN"/>
        </w:rPr>
        <w:t>15</w:t>
      </w:r>
      <w:r>
        <w:rPr>
          <w:rFonts w:hint="eastAsia" w:ascii="仿宋" w:hAnsi="仿宋" w:eastAsia="仿宋"/>
          <w:sz w:val="24"/>
          <w:lang w:eastAsia="zh-CN"/>
        </w:rPr>
        <w:t>日</w:t>
      </w:r>
    </w:p>
    <w:p>
      <w:pPr>
        <w:spacing w:after="0" w:line="360" w:lineRule="auto"/>
        <w:rPr>
          <w:rFonts w:ascii="仿宋" w:hAnsi="仿宋" w:eastAsia="仿宋"/>
          <w:sz w:val="24"/>
          <w:lang w:eastAsia="zh-CN"/>
        </w:rPr>
      </w:pPr>
    </w:p>
    <w:p>
      <w:pPr>
        <w:rPr>
          <w:lang w:eastAsia="zh-CN"/>
        </w:rPr>
      </w:pPr>
    </w:p>
    <w:p>
      <w:pPr>
        <w:spacing w:before="100" w:line="340" w:lineRule="exact"/>
        <w:rPr>
          <w:rFonts w:ascii="黑体" w:hAnsi="黑体" w:eastAsia="黑体"/>
          <w:sz w:val="24"/>
          <w:lang w:eastAsia="zh-CN"/>
        </w:rPr>
      </w:pPr>
    </w:p>
    <w:p>
      <w:pPr>
        <w:spacing w:before="100" w:line="340" w:lineRule="exact"/>
        <w:rPr>
          <w:rFonts w:ascii="黑体" w:hAnsi="黑体" w:eastAsia="黑体"/>
          <w:sz w:val="24"/>
          <w:lang w:eastAsia="zh-CN"/>
        </w:rPr>
      </w:pPr>
    </w:p>
    <w:p>
      <w:pPr>
        <w:spacing w:after="0" w:line="240" w:lineRule="auto"/>
        <w:rPr>
          <w:rFonts w:ascii="黑体" w:hAnsi="黑体" w:eastAsia="黑体"/>
          <w:sz w:val="24"/>
          <w:lang w:eastAsia="zh-CN"/>
        </w:rPr>
      </w:pPr>
      <w:r>
        <w:rPr>
          <w:rFonts w:ascii="黑体" w:hAnsi="黑体" w:eastAsia="黑体"/>
          <w:sz w:val="24"/>
          <w:lang w:eastAsia="zh-CN"/>
        </w:rPr>
        <w:br w:type="page"/>
      </w:r>
    </w:p>
    <w:p>
      <w:pPr>
        <w:spacing w:before="100" w:line="340" w:lineRule="exact"/>
        <w:rPr>
          <w:rFonts w:ascii="黑体" w:hAnsi="黑体" w:eastAsia="黑体"/>
          <w:sz w:val="24"/>
          <w:lang w:eastAsia="zh-CN"/>
        </w:rPr>
      </w:pPr>
      <w:r>
        <w:rPr>
          <w:rFonts w:hint="eastAsia" w:ascii="黑体" w:hAnsi="黑体" w:eastAsia="黑体"/>
          <w:sz w:val="24"/>
          <w:lang w:eastAsia="zh-CN"/>
        </w:rPr>
        <w:t>附件1：投标报价清单：</w:t>
      </w:r>
    </w:p>
    <w:p>
      <w:pPr>
        <w:spacing w:after="0" w:line="240" w:lineRule="auto"/>
        <w:jc w:val="center"/>
        <w:rPr>
          <w:rFonts w:ascii="仿宋" w:hAnsi="仿宋" w:eastAsia="仿宋"/>
          <w:b/>
          <w:sz w:val="36"/>
          <w:szCs w:val="36"/>
          <w:lang w:eastAsia="zh-CN"/>
        </w:rPr>
      </w:pPr>
      <w:r>
        <w:rPr>
          <w:rFonts w:hint="eastAsia" w:ascii="仿宋" w:hAnsi="仿宋" w:eastAsia="仿宋"/>
          <w:b/>
          <w:sz w:val="36"/>
          <w:szCs w:val="36"/>
          <w:lang w:eastAsia="zh-CN"/>
        </w:rPr>
        <w:t>投标报价清单</w:t>
      </w:r>
    </w:p>
    <w:p>
      <w:pPr>
        <w:spacing w:after="0" w:line="240" w:lineRule="auto"/>
        <w:rPr>
          <w:rFonts w:ascii="仿宋" w:hAnsi="仿宋" w:eastAsia="仿宋"/>
          <w:sz w:val="24"/>
          <w:lang w:eastAsia="zh-CN"/>
        </w:rPr>
      </w:pPr>
      <w:r>
        <w:rPr>
          <w:rFonts w:hint="eastAsia" w:ascii="仿宋" w:hAnsi="仿宋" w:eastAsia="仿宋"/>
          <w:sz w:val="24"/>
          <w:lang w:eastAsia="zh-CN"/>
        </w:rPr>
        <w:t>采购项目名称：</w:t>
      </w:r>
      <w:r>
        <w:rPr>
          <w:rFonts w:hint="eastAsia" w:ascii="仿宋" w:hAnsi="仿宋" w:eastAsia="仿宋"/>
          <w:sz w:val="24"/>
          <w:szCs w:val="24"/>
          <w:lang w:eastAsia="zh-CN"/>
        </w:rPr>
        <w:t>湖州师范学院研究生院202</w:t>
      </w:r>
      <w:r>
        <w:rPr>
          <w:rFonts w:hint="eastAsia" w:ascii="仿宋" w:hAnsi="仿宋" w:eastAsia="仿宋"/>
          <w:sz w:val="24"/>
          <w:szCs w:val="24"/>
          <w:lang w:val="en-US" w:eastAsia="zh-CN"/>
        </w:rPr>
        <w:t>3</w:t>
      </w:r>
      <w:r>
        <w:rPr>
          <w:rFonts w:hint="eastAsia" w:ascii="仿宋" w:hAnsi="仿宋" w:eastAsia="仿宋"/>
          <w:sz w:val="24"/>
          <w:szCs w:val="24"/>
          <w:lang w:eastAsia="zh-CN"/>
        </w:rPr>
        <w:t>年国内研究生学位论文送审服务项目</w:t>
      </w:r>
    </w:p>
    <w:p>
      <w:pPr>
        <w:spacing w:after="0" w:line="240" w:lineRule="auto"/>
        <w:rPr>
          <w:rFonts w:hint="default" w:ascii="仿宋" w:hAnsi="仿宋" w:eastAsia="仿宋"/>
          <w:sz w:val="24"/>
          <w:lang w:val="en-US" w:eastAsia="zh-CN"/>
        </w:rPr>
      </w:pPr>
      <w:r>
        <w:rPr>
          <w:rFonts w:hint="eastAsia" w:ascii="仿宋" w:hAnsi="仿宋" w:eastAsia="仿宋"/>
          <w:sz w:val="24"/>
          <w:lang w:eastAsia="zh-CN"/>
        </w:rPr>
        <w:t>采购项目编号：XZ202</w:t>
      </w:r>
      <w:r>
        <w:rPr>
          <w:rFonts w:hint="eastAsia" w:ascii="仿宋" w:hAnsi="仿宋" w:eastAsia="仿宋"/>
          <w:sz w:val="24"/>
          <w:lang w:val="en-US" w:eastAsia="zh-CN"/>
        </w:rPr>
        <w:t>3</w:t>
      </w:r>
      <w:r>
        <w:rPr>
          <w:rFonts w:hint="eastAsia" w:ascii="仿宋" w:hAnsi="仿宋" w:eastAsia="仿宋"/>
          <w:sz w:val="24"/>
          <w:lang w:eastAsia="zh-CN"/>
        </w:rPr>
        <w:t>-0</w:t>
      </w:r>
      <w:r>
        <w:rPr>
          <w:rFonts w:hint="eastAsia" w:ascii="仿宋" w:hAnsi="仿宋" w:eastAsia="仿宋"/>
          <w:sz w:val="24"/>
          <w:lang w:val="en-US" w:eastAsia="zh-CN"/>
        </w:rPr>
        <w:t>11</w:t>
      </w:r>
    </w:p>
    <w:tbl>
      <w:tblPr>
        <w:tblStyle w:val="1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2410"/>
        <w:gridCol w:w="1276"/>
        <w:gridCol w:w="1603"/>
        <w:gridCol w:w="1374"/>
        <w:gridCol w:w="16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pStyle w:val="2"/>
              <w:pBdr>
                <w:bottom w:val="none" w:color="auto" w:sz="0" w:space="0"/>
              </w:pBdr>
              <w:rPr>
                <w:rFonts w:hint="eastAsia" w:ascii="仿宋" w:hAnsi="仿宋" w:eastAsia="仿宋" w:cs="仿宋"/>
                <w:b/>
                <w:sz w:val="24"/>
                <w:szCs w:val="24"/>
                <w:shd w:val="clear" w:color="auto" w:fill="FFFFFF"/>
                <w:lang w:eastAsia="zh-CN" w:bidi="ar-SA"/>
              </w:rPr>
            </w:pPr>
            <w:r>
              <w:rPr>
                <w:rFonts w:hint="eastAsia" w:ascii="仿宋" w:hAnsi="仿宋" w:eastAsia="仿宋" w:cs="仿宋"/>
                <w:b/>
                <w:sz w:val="24"/>
                <w:szCs w:val="24"/>
                <w:shd w:val="clear" w:color="auto" w:fill="FFFFFF"/>
                <w:lang w:eastAsia="zh-CN" w:bidi="ar-SA"/>
              </w:rPr>
              <w:t>序号</w:t>
            </w:r>
          </w:p>
        </w:tc>
        <w:tc>
          <w:tcPr>
            <w:tcW w:w="2410" w:type="dxa"/>
            <w:vAlign w:val="center"/>
          </w:tcPr>
          <w:p>
            <w:pPr>
              <w:pStyle w:val="2"/>
              <w:pBdr>
                <w:bottom w:val="none" w:color="auto" w:sz="0" w:space="0"/>
              </w:pBdr>
              <w:rPr>
                <w:rFonts w:hint="eastAsia" w:ascii="仿宋" w:hAnsi="仿宋" w:eastAsia="仿宋" w:cs="仿宋"/>
                <w:b/>
                <w:sz w:val="24"/>
                <w:szCs w:val="24"/>
                <w:shd w:val="clear" w:color="auto" w:fill="FFFFFF"/>
                <w:lang w:eastAsia="zh-CN" w:bidi="ar-SA"/>
              </w:rPr>
            </w:pPr>
            <w:r>
              <w:rPr>
                <w:rFonts w:hint="eastAsia" w:ascii="仿宋" w:hAnsi="仿宋" w:eastAsia="仿宋" w:cs="仿宋"/>
                <w:b/>
                <w:sz w:val="24"/>
                <w:szCs w:val="24"/>
                <w:shd w:val="clear" w:color="auto" w:fill="FFFFFF"/>
                <w:lang w:eastAsia="zh-CN" w:bidi="ar-SA"/>
              </w:rPr>
              <w:t>项目名称</w:t>
            </w:r>
          </w:p>
        </w:tc>
        <w:tc>
          <w:tcPr>
            <w:tcW w:w="1276" w:type="dxa"/>
            <w:vAlign w:val="center"/>
          </w:tcPr>
          <w:p>
            <w:pPr>
              <w:pStyle w:val="2"/>
              <w:pBdr>
                <w:bottom w:val="none" w:color="auto" w:sz="0" w:space="0"/>
              </w:pBdr>
              <w:rPr>
                <w:rFonts w:hint="eastAsia" w:ascii="仿宋" w:hAnsi="仿宋" w:eastAsia="仿宋" w:cs="仿宋"/>
                <w:b/>
                <w:sz w:val="24"/>
                <w:szCs w:val="24"/>
                <w:shd w:val="clear" w:color="auto" w:fill="FFFFFF"/>
                <w:lang w:eastAsia="zh-CN" w:bidi="ar-SA"/>
              </w:rPr>
            </w:pPr>
            <w:r>
              <w:rPr>
                <w:rFonts w:hint="eastAsia" w:ascii="仿宋" w:hAnsi="仿宋" w:eastAsia="仿宋" w:cs="仿宋"/>
                <w:b/>
                <w:sz w:val="24"/>
                <w:szCs w:val="24"/>
                <w:shd w:val="clear" w:color="auto" w:fill="FFFFFF"/>
                <w:lang w:eastAsia="zh-CN" w:bidi="ar-SA"/>
              </w:rPr>
              <w:t>论文篇数</w:t>
            </w:r>
          </w:p>
        </w:tc>
        <w:tc>
          <w:tcPr>
            <w:tcW w:w="1603" w:type="dxa"/>
            <w:vAlign w:val="center"/>
          </w:tcPr>
          <w:p>
            <w:pPr>
              <w:pStyle w:val="2"/>
              <w:pBdr>
                <w:bottom w:val="none" w:color="auto" w:sz="0" w:space="0"/>
              </w:pBdr>
              <w:rPr>
                <w:rFonts w:hint="eastAsia" w:ascii="仿宋" w:hAnsi="仿宋" w:eastAsia="仿宋" w:cs="仿宋"/>
                <w:b/>
                <w:sz w:val="24"/>
                <w:szCs w:val="24"/>
                <w:shd w:val="clear" w:color="auto" w:fill="FFFFFF"/>
                <w:lang w:eastAsia="zh-CN" w:bidi="ar-SA"/>
              </w:rPr>
            </w:pPr>
            <w:r>
              <w:rPr>
                <w:rFonts w:hint="eastAsia" w:ascii="仿宋" w:hAnsi="仿宋" w:eastAsia="仿宋" w:cs="仿宋"/>
                <w:b/>
                <w:sz w:val="24"/>
                <w:szCs w:val="24"/>
                <w:shd w:val="clear" w:color="auto" w:fill="FFFFFF"/>
                <w:lang w:eastAsia="zh-CN" w:bidi="ar-SA"/>
              </w:rPr>
              <w:t>每篇论文送审次数</w:t>
            </w:r>
          </w:p>
        </w:tc>
        <w:tc>
          <w:tcPr>
            <w:tcW w:w="1374" w:type="dxa"/>
            <w:vAlign w:val="center"/>
          </w:tcPr>
          <w:p>
            <w:pPr>
              <w:pStyle w:val="2"/>
              <w:pBdr>
                <w:bottom w:val="none" w:color="auto" w:sz="0" w:space="0"/>
              </w:pBdr>
              <w:rPr>
                <w:rFonts w:hint="eastAsia" w:ascii="仿宋" w:hAnsi="仿宋" w:eastAsia="仿宋" w:cs="仿宋"/>
                <w:b/>
                <w:sz w:val="24"/>
                <w:szCs w:val="24"/>
                <w:shd w:val="clear" w:color="auto" w:fill="FFFFFF"/>
                <w:lang w:eastAsia="zh-CN" w:bidi="ar-SA"/>
              </w:rPr>
            </w:pPr>
            <w:r>
              <w:rPr>
                <w:rFonts w:hint="eastAsia" w:ascii="仿宋" w:hAnsi="仿宋" w:eastAsia="仿宋" w:cs="仿宋"/>
                <w:b/>
                <w:sz w:val="24"/>
                <w:szCs w:val="24"/>
                <w:shd w:val="clear" w:color="auto" w:fill="FFFFFF"/>
                <w:lang w:eastAsia="zh-CN" w:bidi="ar-SA"/>
              </w:rPr>
              <w:t>投标报价单价</w:t>
            </w:r>
          </w:p>
        </w:tc>
        <w:tc>
          <w:tcPr>
            <w:tcW w:w="1608" w:type="dxa"/>
            <w:vAlign w:val="center"/>
          </w:tcPr>
          <w:p>
            <w:pPr>
              <w:pStyle w:val="2"/>
              <w:pBdr>
                <w:bottom w:val="none" w:color="auto" w:sz="0" w:space="0"/>
              </w:pBdr>
              <w:rPr>
                <w:rFonts w:hint="eastAsia" w:ascii="仿宋" w:hAnsi="仿宋" w:eastAsia="仿宋" w:cs="仿宋"/>
                <w:b/>
                <w:sz w:val="24"/>
                <w:szCs w:val="24"/>
                <w:shd w:val="clear" w:color="auto" w:fill="FFFFFF"/>
                <w:lang w:eastAsia="zh-CN" w:bidi="ar-SA"/>
              </w:rPr>
            </w:pPr>
            <w:r>
              <w:rPr>
                <w:rFonts w:hint="eastAsia" w:ascii="仿宋" w:hAnsi="仿宋" w:eastAsia="仿宋" w:cs="仿宋"/>
                <w:b/>
                <w:sz w:val="24"/>
                <w:szCs w:val="24"/>
                <w:shd w:val="clear" w:color="auto" w:fill="FFFFFF"/>
                <w:lang w:eastAsia="zh-CN" w:bidi="ar-SA"/>
              </w:rPr>
              <w:t>投标报价总价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675" w:type="dxa"/>
            <w:vAlign w:val="center"/>
          </w:tcPr>
          <w:p>
            <w:pPr>
              <w:pStyle w:val="16"/>
              <w:widowControl/>
              <w:spacing w:before="225" w:beforeAutospacing="0" w:after="225" w:afterAutospacing="0"/>
              <w:jc w:val="center"/>
              <w:rPr>
                <w:rFonts w:hint="eastAsia" w:ascii="仿宋" w:hAnsi="仿宋" w:eastAsia="仿宋" w:cs="仿宋"/>
                <w:sz w:val="24"/>
                <w:szCs w:val="24"/>
                <w:shd w:val="clear" w:color="auto" w:fill="FFFFFF"/>
                <w:lang w:eastAsia="zh-CN" w:bidi="ar-SA"/>
              </w:rPr>
            </w:pPr>
            <w:r>
              <w:rPr>
                <w:rFonts w:hint="eastAsia" w:ascii="仿宋" w:hAnsi="仿宋" w:eastAsia="仿宋" w:cs="仿宋"/>
                <w:sz w:val="24"/>
                <w:szCs w:val="24"/>
              </w:rPr>
              <w:t>1</w:t>
            </w:r>
          </w:p>
        </w:tc>
        <w:tc>
          <w:tcPr>
            <w:tcW w:w="2410" w:type="dxa"/>
            <w:vAlign w:val="center"/>
          </w:tcPr>
          <w:p>
            <w:pPr>
              <w:pStyle w:val="16"/>
              <w:widowControl/>
              <w:spacing w:before="225" w:beforeAutospacing="0" w:after="225" w:afterAutospacing="0"/>
              <w:rPr>
                <w:rFonts w:hint="eastAsia" w:ascii="仿宋" w:hAnsi="仿宋" w:eastAsia="仿宋" w:cs="仿宋"/>
                <w:sz w:val="24"/>
                <w:szCs w:val="24"/>
                <w:shd w:val="clear" w:color="auto" w:fill="FFFFFF"/>
                <w:lang w:eastAsia="zh-CN" w:bidi="ar-SA"/>
              </w:rPr>
            </w:pPr>
            <w:r>
              <w:rPr>
                <w:rFonts w:hint="eastAsia" w:ascii="仿宋" w:hAnsi="仿宋" w:eastAsia="仿宋" w:cs="仿宋"/>
                <w:sz w:val="24"/>
                <w:szCs w:val="24"/>
                <w:lang w:val="en-US" w:eastAsia="zh-CN"/>
              </w:rPr>
              <w:t>学术学位研究生学位论文</w:t>
            </w:r>
          </w:p>
        </w:tc>
        <w:tc>
          <w:tcPr>
            <w:tcW w:w="1276" w:type="dxa"/>
            <w:vAlign w:val="center"/>
          </w:tcPr>
          <w:p>
            <w:pPr>
              <w:pStyle w:val="16"/>
              <w:widowControl/>
              <w:spacing w:before="225" w:beforeAutospacing="0" w:after="225" w:afterAutospacing="0"/>
              <w:jc w:val="center"/>
              <w:rPr>
                <w:rFonts w:hint="eastAsia" w:ascii="仿宋" w:hAnsi="仿宋" w:eastAsia="仿宋" w:cs="仿宋"/>
                <w:sz w:val="24"/>
                <w:szCs w:val="24"/>
                <w:shd w:val="clear" w:color="auto" w:fill="FFFFFF"/>
                <w:lang w:eastAsia="zh-CN" w:bidi="ar-SA"/>
              </w:rPr>
            </w:pPr>
            <w:r>
              <w:rPr>
                <w:rFonts w:hint="eastAsia" w:ascii="仿宋" w:hAnsi="仿宋" w:eastAsia="仿宋" w:cs="仿宋"/>
                <w:sz w:val="24"/>
                <w:szCs w:val="24"/>
                <w:shd w:val="clear" w:color="auto" w:fill="FFFFFF"/>
                <w:lang w:val="en-US" w:eastAsia="zh-CN"/>
              </w:rPr>
              <w:t>100</w:t>
            </w:r>
            <w:r>
              <w:rPr>
                <w:rFonts w:hint="eastAsia" w:ascii="仿宋" w:hAnsi="仿宋" w:eastAsia="仿宋" w:cs="仿宋"/>
                <w:sz w:val="24"/>
                <w:szCs w:val="24"/>
                <w:shd w:val="clear" w:color="auto" w:fill="FFFFFF"/>
              </w:rPr>
              <w:t>篇</w:t>
            </w:r>
          </w:p>
        </w:tc>
        <w:tc>
          <w:tcPr>
            <w:tcW w:w="1603" w:type="dxa"/>
            <w:vAlign w:val="center"/>
          </w:tcPr>
          <w:p>
            <w:pPr>
              <w:pStyle w:val="16"/>
              <w:widowControl/>
              <w:spacing w:before="225" w:beforeAutospacing="0" w:after="225" w:afterAutospacing="0"/>
              <w:jc w:val="center"/>
              <w:rPr>
                <w:rFonts w:hint="eastAsia" w:ascii="仿宋" w:hAnsi="仿宋" w:eastAsia="仿宋" w:cs="仿宋"/>
                <w:sz w:val="24"/>
                <w:szCs w:val="24"/>
                <w:shd w:val="clear" w:color="auto" w:fill="FFFFFF"/>
                <w:lang w:eastAsia="zh-CN" w:bidi="ar-SA"/>
              </w:rPr>
            </w:pPr>
            <w:r>
              <w:rPr>
                <w:rFonts w:hint="eastAsia" w:ascii="仿宋" w:hAnsi="仿宋" w:eastAsia="仿宋" w:cs="仿宋"/>
                <w:sz w:val="24"/>
                <w:szCs w:val="24"/>
                <w:shd w:val="clear" w:color="auto" w:fill="FFFFFF"/>
              </w:rPr>
              <w:t>3次</w:t>
            </w:r>
          </w:p>
        </w:tc>
        <w:tc>
          <w:tcPr>
            <w:tcW w:w="1374" w:type="dxa"/>
            <w:vAlign w:val="center"/>
          </w:tcPr>
          <w:p>
            <w:pPr>
              <w:pStyle w:val="2"/>
              <w:pBdr>
                <w:bottom w:val="none" w:color="auto" w:sz="0" w:space="0"/>
              </w:pBdr>
              <w:rPr>
                <w:rFonts w:hint="eastAsia" w:ascii="仿宋" w:hAnsi="仿宋" w:eastAsia="仿宋" w:cs="仿宋"/>
                <w:sz w:val="24"/>
                <w:szCs w:val="24"/>
                <w:shd w:val="clear" w:color="auto" w:fill="FFFFFF"/>
                <w:lang w:eastAsia="zh-CN" w:bidi="ar-SA"/>
              </w:rPr>
            </w:pPr>
          </w:p>
        </w:tc>
        <w:tc>
          <w:tcPr>
            <w:tcW w:w="1608" w:type="dxa"/>
            <w:vAlign w:val="center"/>
          </w:tcPr>
          <w:p>
            <w:pPr>
              <w:pStyle w:val="2"/>
              <w:pBdr>
                <w:bottom w:val="none" w:color="auto" w:sz="0" w:space="0"/>
              </w:pBdr>
              <w:rPr>
                <w:rFonts w:hint="eastAsia" w:ascii="仿宋" w:hAnsi="仿宋" w:eastAsia="仿宋" w:cs="仿宋"/>
                <w:sz w:val="24"/>
                <w:szCs w:val="24"/>
                <w:shd w:val="clear" w:color="auto" w:fill="FFFFFF"/>
                <w:lang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675" w:type="dxa"/>
            <w:vAlign w:val="center"/>
          </w:tcPr>
          <w:p>
            <w:pPr>
              <w:pStyle w:val="16"/>
              <w:widowControl/>
              <w:spacing w:before="225" w:beforeAutospacing="0" w:after="225" w:afterAutospacing="0"/>
              <w:jc w:val="center"/>
              <w:rPr>
                <w:rFonts w:hint="eastAsia" w:ascii="仿宋" w:hAnsi="仿宋" w:eastAsia="仿宋" w:cs="仿宋"/>
                <w:sz w:val="24"/>
                <w:szCs w:val="24"/>
                <w:shd w:val="clear" w:color="auto" w:fill="FFFFFF"/>
                <w:lang w:eastAsia="zh-CN" w:bidi="ar-SA"/>
              </w:rPr>
            </w:pPr>
            <w:r>
              <w:rPr>
                <w:rFonts w:hint="eastAsia" w:ascii="仿宋" w:hAnsi="仿宋" w:eastAsia="仿宋" w:cs="仿宋"/>
                <w:sz w:val="24"/>
                <w:szCs w:val="24"/>
                <w:lang w:val="en-US" w:eastAsia="zh-CN"/>
              </w:rPr>
              <w:t>2</w:t>
            </w:r>
          </w:p>
        </w:tc>
        <w:tc>
          <w:tcPr>
            <w:tcW w:w="2410" w:type="dxa"/>
            <w:vAlign w:val="center"/>
          </w:tcPr>
          <w:p>
            <w:pPr>
              <w:pStyle w:val="16"/>
              <w:widowControl/>
              <w:spacing w:before="225" w:beforeAutospacing="0" w:after="225" w:afterAutospacing="0"/>
              <w:rPr>
                <w:rFonts w:hint="eastAsia" w:ascii="仿宋" w:hAnsi="仿宋" w:eastAsia="仿宋" w:cs="仿宋"/>
                <w:sz w:val="24"/>
                <w:szCs w:val="24"/>
                <w:shd w:val="clear" w:color="auto" w:fill="FFFFFF"/>
                <w:lang w:eastAsia="zh-CN" w:bidi="ar-SA"/>
              </w:rPr>
            </w:pPr>
            <w:r>
              <w:rPr>
                <w:rFonts w:hint="eastAsia" w:ascii="仿宋" w:hAnsi="仿宋" w:eastAsia="仿宋" w:cs="仿宋"/>
                <w:sz w:val="24"/>
                <w:szCs w:val="24"/>
                <w:shd w:val="clear" w:color="auto" w:fill="FFFFFF"/>
                <w:lang w:eastAsia="zh-CN"/>
              </w:rPr>
              <w:t>专业学位研究生学位论文</w:t>
            </w:r>
          </w:p>
        </w:tc>
        <w:tc>
          <w:tcPr>
            <w:tcW w:w="1276" w:type="dxa"/>
            <w:vAlign w:val="center"/>
          </w:tcPr>
          <w:p>
            <w:pPr>
              <w:pStyle w:val="16"/>
              <w:widowControl/>
              <w:spacing w:before="225" w:beforeAutospacing="0" w:after="225" w:afterAutospacing="0"/>
              <w:jc w:val="center"/>
              <w:rPr>
                <w:rFonts w:hint="eastAsia" w:ascii="仿宋" w:hAnsi="仿宋" w:eastAsia="仿宋" w:cs="仿宋"/>
                <w:sz w:val="24"/>
                <w:szCs w:val="24"/>
                <w:shd w:val="clear" w:color="auto" w:fill="FFFFFF"/>
                <w:lang w:eastAsia="zh-CN" w:bidi="ar-SA"/>
              </w:rPr>
            </w:pPr>
            <w:r>
              <w:rPr>
                <w:rFonts w:hint="eastAsia" w:ascii="仿宋" w:hAnsi="仿宋" w:eastAsia="仿宋" w:cs="仿宋"/>
                <w:sz w:val="24"/>
                <w:szCs w:val="24"/>
                <w:shd w:val="clear" w:color="auto" w:fill="FFFFFF"/>
                <w:lang w:val="en-US" w:eastAsia="zh-CN"/>
              </w:rPr>
              <w:t>430</w:t>
            </w:r>
            <w:r>
              <w:rPr>
                <w:rFonts w:hint="eastAsia" w:ascii="仿宋" w:hAnsi="仿宋" w:eastAsia="仿宋" w:cs="仿宋"/>
                <w:sz w:val="24"/>
                <w:szCs w:val="24"/>
                <w:shd w:val="clear" w:color="auto" w:fill="FFFFFF"/>
              </w:rPr>
              <w:t>篇</w:t>
            </w:r>
          </w:p>
        </w:tc>
        <w:tc>
          <w:tcPr>
            <w:tcW w:w="1603" w:type="dxa"/>
            <w:vAlign w:val="center"/>
          </w:tcPr>
          <w:p>
            <w:pPr>
              <w:pStyle w:val="16"/>
              <w:widowControl/>
              <w:spacing w:before="225" w:beforeAutospacing="0" w:after="225" w:afterAutospacing="0"/>
              <w:jc w:val="center"/>
              <w:rPr>
                <w:rFonts w:hint="eastAsia" w:ascii="仿宋" w:hAnsi="仿宋" w:eastAsia="仿宋" w:cs="仿宋"/>
                <w:sz w:val="24"/>
                <w:szCs w:val="24"/>
                <w:shd w:val="clear" w:color="auto" w:fill="FFFFFF"/>
                <w:lang w:eastAsia="zh-CN" w:bidi="ar-SA"/>
              </w:rPr>
            </w:pPr>
            <w:r>
              <w:rPr>
                <w:rFonts w:hint="eastAsia" w:ascii="仿宋" w:hAnsi="仿宋" w:eastAsia="仿宋" w:cs="仿宋"/>
                <w:sz w:val="24"/>
                <w:szCs w:val="24"/>
                <w:shd w:val="clear" w:color="auto" w:fill="FFFFFF"/>
                <w:lang w:val="en-US" w:eastAsia="zh-CN"/>
              </w:rPr>
              <w:t>2次</w:t>
            </w:r>
          </w:p>
        </w:tc>
        <w:tc>
          <w:tcPr>
            <w:tcW w:w="1374" w:type="dxa"/>
            <w:vAlign w:val="center"/>
          </w:tcPr>
          <w:p>
            <w:pPr>
              <w:pStyle w:val="2"/>
              <w:pBdr>
                <w:bottom w:val="none" w:color="auto" w:sz="0" w:space="0"/>
              </w:pBdr>
              <w:rPr>
                <w:rFonts w:hint="eastAsia" w:ascii="仿宋" w:hAnsi="仿宋" w:eastAsia="仿宋" w:cs="仿宋"/>
                <w:sz w:val="24"/>
                <w:szCs w:val="24"/>
                <w:shd w:val="clear" w:color="auto" w:fill="FFFFFF"/>
                <w:lang w:eastAsia="zh-CN" w:bidi="ar-SA"/>
              </w:rPr>
            </w:pPr>
          </w:p>
        </w:tc>
        <w:tc>
          <w:tcPr>
            <w:tcW w:w="1608" w:type="dxa"/>
            <w:vAlign w:val="center"/>
          </w:tcPr>
          <w:p>
            <w:pPr>
              <w:pStyle w:val="2"/>
              <w:pBdr>
                <w:bottom w:val="none" w:color="auto" w:sz="0" w:space="0"/>
              </w:pBdr>
              <w:rPr>
                <w:rFonts w:hint="eastAsia" w:ascii="仿宋" w:hAnsi="仿宋" w:eastAsia="仿宋" w:cs="仿宋"/>
                <w:sz w:val="24"/>
                <w:szCs w:val="24"/>
                <w:shd w:val="clear" w:color="auto" w:fill="FFFFFF"/>
                <w:lang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85" w:type="dxa"/>
            <w:gridSpan w:val="2"/>
            <w:vAlign w:val="center"/>
          </w:tcPr>
          <w:p>
            <w:pPr>
              <w:pStyle w:val="2"/>
              <w:pBdr>
                <w:bottom w:val="none" w:color="auto" w:sz="0" w:space="0"/>
              </w:pBdr>
              <w:rPr>
                <w:rFonts w:hint="eastAsia" w:ascii="仿宋" w:hAnsi="仿宋" w:eastAsia="仿宋" w:cs="仿宋"/>
                <w:sz w:val="24"/>
                <w:szCs w:val="24"/>
                <w:shd w:val="clear" w:color="auto" w:fill="FFFFFF"/>
                <w:lang w:eastAsia="zh-CN" w:bidi="ar-SA"/>
              </w:rPr>
            </w:pPr>
            <w:r>
              <w:rPr>
                <w:rFonts w:hint="eastAsia" w:ascii="仿宋" w:hAnsi="仿宋" w:eastAsia="仿宋" w:cs="仿宋"/>
                <w:b/>
                <w:sz w:val="24"/>
                <w:szCs w:val="24"/>
                <w:shd w:val="clear" w:color="auto" w:fill="FFFFFF"/>
                <w:lang w:eastAsia="zh-CN" w:bidi="ar-SA"/>
              </w:rPr>
              <w:t>投标报价总价</w:t>
            </w:r>
          </w:p>
        </w:tc>
        <w:tc>
          <w:tcPr>
            <w:tcW w:w="5861" w:type="dxa"/>
            <w:gridSpan w:val="4"/>
            <w:vAlign w:val="center"/>
          </w:tcPr>
          <w:p>
            <w:pPr>
              <w:pStyle w:val="2"/>
              <w:pBdr>
                <w:bottom w:val="none" w:color="auto" w:sz="0" w:space="0"/>
              </w:pBdr>
              <w:rPr>
                <w:rFonts w:hint="eastAsia" w:ascii="仿宋" w:hAnsi="仿宋" w:eastAsia="仿宋" w:cs="仿宋"/>
                <w:sz w:val="24"/>
                <w:szCs w:val="24"/>
                <w:shd w:val="clear" w:color="auto" w:fill="FFFFFF"/>
                <w:lang w:eastAsia="zh-CN" w:bidi="ar-SA"/>
              </w:rPr>
            </w:pPr>
            <w:r>
              <w:rPr>
                <w:rFonts w:hint="eastAsia" w:ascii="仿宋" w:hAnsi="仿宋" w:eastAsia="仿宋" w:cs="仿宋"/>
                <w:sz w:val="24"/>
                <w:szCs w:val="24"/>
                <w:shd w:val="clear" w:color="auto" w:fill="FFFFFF"/>
                <w:lang w:eastAsia="zh-CN" w:bidi="ar-SA"/>
              </w:rPr>
              <w:t>人民币大写：元（￥元）</w:t>
            </w:r>
          </w:p>
        </w:tc>
      </w:tr>
    </w:tbl>
    <w:p>
      <w:pPr>
        <w:spacing w:after="0" w:line="240" w:lineRule="auto"/>
        <w:rPr>
          <w:rFonts w:ascii="仿宋" w:hAnsi="仿宋" w:eastAsia="仿宋"/>
          <w:b/>
          <w:sz w:val="24"/>
          <w:lang w:eastAsia="zh-CN"/>
        </w:rPr>
      </w:pPr>
    </w:p>
    <w:p>
      <w:pPr>
        <w:spacing w:after="0" w:line="240" w:lineRule="auto"/>
        <w:rPr>
          <w:sz w:val="18"/>
          <w:szCs w:val="18"/>
          <w:lang w:eastAsia="zh-CN"/>
        </w:rPr>
      </w:pPr>
      <w:r>
        <w:rPr>
          <w:rFonts w:hint="eastAsia" w:ascii="仿宋" w:hAnsi="仿宋" w:eastAsia="仿宋"/>
          <w:sz w:val="24"/>
          <w:lang w:eastAsia="zh-CN"/>
        </w:rPr>
        <w:t>注：以上报价含货物费、服务费、咨询费、措施费、运输费、税金等全部费用。项目总价高于采购预算者视为无效报价。报价以人民币计，并以大写为准。</w:t>
      </w:r>
    </w:p>
    <w:p>
      <w:pPr>
        <w:rPr>
          <w:lang w:eastAsia="zh-CN"/>
        </w:rPr>
      </w:pPr>
    </w:p>
    <w:p>
      <w:pPr>
        <w:spacing w:before="100" w:line="340" w:lineRule="exact"/>
        <w:ind w:firstLine="4581" w:firstLineChars="1909"/>
        <w:rPr>
          <w:rFonts w:ascii="仿宋" w:hAnsi="仿宋" w:eastAsia="仿宋"/>
          <w:sz w:val="24"/>
          <w:u w:val="single"/>
          <w:lang w:eastAsia="zh-CN"/>
        </w:rPr>
      </w:pPr>
      <w:r>
        <w:rPr>
          <w:rFonts w:hint="eastAsia" w:ascii="仿宋" w:hAnsi="仿宋" w:eastAsia="仿宋"/>
          <w:sz w:val="24"/>
          <w:lang w:eastAsia="zh-CN"/>
        </w:rPr>
        <w:t>授权代表签字：</w:t>
      </w:r>
    </w:p>
    <w:p>
      <w:pPr>
        <w:spacing w:before="100" w:line="340" w:lineRule="exact"/>
        <w:ind w:right="120" w:firstLine="4560" w:firstLineChars="1900"/>
        <w:rPr>
          <w:rFonts w:ascii="仿宋" w:hAnsi="仿宋" w:eastAsia="仿宋"/>
          <w:sz w:val="24"/>
          <w:u w:val="single"/>
          <w:lang w:eastAsia="zh-CN"/>
        </w:rPr>
      </w:pPr>
      <w:r>
        <w:rPr>
          <w:rFonts w:hint="eastAsia" w:ascii="仿宋" w:hAnsi="仿宋" w:eastAsia="仿宋"/>
          <w:sz w:val="24"/>
          <w:lang w:eastAsia="zh-CN"/>
        </w:rPr>
        <w:t>投标人（盖章）：</w:t>
      </w:r>
    </w:p>
    <w:p>
      <w:pPr>
        <w:wordWrap w:val="0"/>
        <w:spacing w:before="100" w:line="340" w:lineRule="exact"/>
        <w:ind w:firstLine="480" w:firstLineChars="200"/>
        <w:jc w:val="right"/>
        <w:rPr>
          <w:rFonts w:ascii="仿宋" w:hAnsi="仿宋" w:eastAsia="仿宋"/>
          <w:sz w:val="24"/>
          <w:u w:val="single"/>
          <w:lang w:eastAsia="zh-CN"/>
        </w:rPr>
      </w:pPr>
      <w:r>
        <w:rPr>
          <w:rFonts w:hint="eastAsia" w:ascii="仿宋" w:hAnsi="仿宋" w:eastAsia="仿宋"/>
          <w:sz w:val="24"/>
          <w:lang w:eastAsia="zh-CN"/>
        </w:rPr>
        <w:t xml:space="preserve">             202</w:t>
      </w:r>
      <w:r>
        <w:rPr>
          <w:rFonts w:hint="eastAsia" w:ascii="仿宋" w:hAnsi="仿宋" w:eastAsia="仿宋"/>
          <w:sz w:val="24"/>
          <w:lang w:val="en-US" w:eastAsia="zh-CN"/>
        </w:rPr>
        <w:t>3</w:t>
      </w:r>
      <w:r>
        <w:rPr>
          <w:rFonts w:hint="eastAsia" w:ascii="仿宋" w:hAnsi="仿宋" w:eastAsia="仿宋"/>
          <w:sz w:val="24"/>
          <w:lang w:eastAsia="zh-CN"/>
        </w:rPr>
        <w:t>年月日</w:t>
      </w:r>
    </w:p>
    <w:sectPr>
      <w:pgSz w:w="11906" w:h="16838"/>
      <w:pgMar w:top="1304" w:right="1588" w:bottom="1021"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C185D6"/>
    <w:multiLevelType w:val="singleLevel"/>
    <w:tmpl w:val="ADC185D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1B2D"/>
    <w:rsid w:val="00006F97"/>
    <w:rsid w:val="000148E3"/>
    <w:rsid w:val="00033F10"/>
    <w:rsid w:val="00047190"/>
    <w:rsid w:val="000602BE"/>
    <w:rsid w:val="0007391A"/>
    <w:rsid w:val="00077B0E"/>
    <w:rsid w:val="000974B0"/>
    <w:rsid w:val="000C5DDA"/>
    <w:rsid w:val="000C74B2"/>
    <w:rsid w:val="001119DB"/>
    <w:rsid w:val="001323AE"/>
    <w:rsid w:val="00136F45"/>
    <w:rsid w:val="001431D5"/>
    <w:rsid w:val="00155B81"/>
    <w:rsid w:val="001847AD"/>
    <w:rsid w:val="0019727A"/>
    <w:rsid w:val="001C3482"/>
    <w:rsid w:val="001E35E8"/>
    <w:rsid w:val="001F466B"/>
    <w:rsid w:val="001F4F6B"/>
    <w:rsid w:val="001F6E41"/>
    <w:rsid w:val="00223F7F"/>
    <w:rsid w:val="002252F9"/>
    <w:rsid w:val="0022687C"/>
    <w:rsid w:val="002313B8"/>
    <w:rsid w:val="00241CBA"/>
    <w:rsid w:val="00247BA2"/>
    <w:rsid w:val="00262C6F"/>
    <w:rsid w:val="00262EDB"/>
    <w:rsid w:val="00277CD1"/>
    <w:rsid w:val="00282DFF"/>
    <w:rsid w:val="00290A4F"/>
    <w:rsid w:val="00293B78"/>
    <w:rsid w:val="002A2FCB"/>
    <w:rsid w:val="002B7834"/>
    <w:rsid w:val="002D5AD8"/>
    <w:rsid w:val="002E487C"/>
    <w:rsid w:val="002F70DB"/>
    <w:rsid w:val="00301262"/>
    <w:rsid w:val="00341C94"/>
    <w:rsid w:val="003736E8"/>
    <w:rsid w:val="00374D03"/>
    <w:rsid w:val="0037651D"/>
    <w:rsid w:val="00377E50"/>
    <w:rsid w:val="003A28D8"/>
    <w:rsid w:val="003B081E"/>
    <w:rsid w:val="003B30F1"/>
    <w:rsid w:val="003C0251"/>
    <w:rsid w:val="003C46C9"/>
    <w:rsid w:val="003D35CA"/>
    <w:rsid w:val="003E4D40"/>
    <w:rsid w:val="003F3B9E"/>
    <w:rsid w:val="003F6A7E"/>
    <w:rsid w:val="00421AC5"/>
    <w:rsid w:val="00434D74"/>
    <w:rsid w:val="00485E7C"/>
    <w:rsid w:val="00486EA4"/>
    <w:rsid w:val="004A5C53"/>
    <w:rsid w:val="004D12C7"/>
    <w:rsid w:val="004E1C35"/>
    <w:rsid w:val="00506FC9"/>
    <w:rsid w:val="005135C0"/>
    <w:rsid w:val="00533C27"/>
    <w:rsid w:val="00533E0C"/>
    <w:rsid w:val="00535FD4"/>
    <w:rsid w:val="00577567"/>
    <w:rsid w:val="00577A8B"/>
    <w:rsid w:val="0058068F"/>
    <w:rsid w:val="005A3DD5"/>
    <w:rsid w:val="005A4FAF"/>
    <w:rsid w:val="005B49F6"/>
    <w:rsid w:val="005E20B6"/>
    <w:rsid w:val="005E3210"/>
    <w:rsid w:val="0061361A"/>
    <w:rsid w:val="00646079"/>
    <w:rsid w:val="00662B36"/>
    <w:rsid w:val="0067008C"/>
    <w:rsid w:val="00676BBC"/>
    <w:rsid w:val="00690B6A"/>
    <w:rsid w:val="00692E98"/>
    <w:rsid w:val="006C04C1"/>
    <w:rsid w:val="006C1D07"/>
    <w:rsid w:val="006E7C72"/>
    <w:rsid w:val="007074FB"/>
    <w:rsid w:val="00731A1E"/>
    <w:rsid w:val="007411A0"/>
    <w:rsid w:val="00742716"/>
    <w:rsid w:val="00743E3A"/>
    <w:rsid w:val="00765149"/>
    <w:rsid w:val="00787C21"/>
    <w:rsid w:val="00796FAD"/>
    <w:rsid w:val="007B148B"/>
    <w:rsid w:val="007C2F10"/>
    <w:rsid w:val="007F31FD"/>
    <w:rsid w:val="008610E5"/>
    <w:rsid w:val="00871908"/>
    <w:rsid w:val="00872B66"/>
    <w:rsid w:val="00873EB5"/>
    <w:rsid w:val="00885810"/>
    <w:rsid w:val="008A6901"/>
    <w:rsid w:val="008A7BED"/>
    <w:rsid w:val="008B2694"/>
    <w:rsid w:val="008B4783"/>
    <w:rsid w:val="008D6E99"/>
    <w:rsid w:val="009050F6"/>
    <w:rsid w:val="009246BE"/>
    <w:rsid w:val="0093609F"/>
    <w:rsid w:val="00945964"/>
    <w:rsid w:val="009469F1"/>
    <w:rsid w:val="00956121"/>
    <w:rsid w:val="00957100"/>
    <w:rsid w:val="00981B2D"/>
    <w:rsid w:val="00992EF7"/>
    <w:rsid w:val="009B05DE"/>
    <w:rsid w:val="009C7CF7"/>
    <w:rsid w:val="009D31CA"/>
    <w:rsid w:val="009E118A"/>
    <w:rsid w:val="009E6AA5"/>
    <w:rsid w:val="009F0411"/>
    <w:rsid w:val="00A0381F"/>
    <w:rsid w:val="00A26401"/>
    <w:rsid w:val="00A34DE4"/>
    <w:rsid w:val="00A436D7"/>
    <w:rsid w:val="00A51E62"/>
    <w:rsid w:val="00A707C8"/>
    <w:rsid w:val="00A828F8"/>
    <w:rsid w:val="00A967AF"/>
    <w:rsid w:val="00AB5B55"/>
    <w:rsid w:val="00AC743A"/>
    <w:rsid w:val="00AD6333"/>
    <w:rsid w:val="00AF795E"/>
    <w:rsid w:val="00B024D3"/>
    <w:rsid w:val="00B12577"/>
    <w:rsid w:val="00B20CFC"/>
    <w:rsid w:val="00B321C7"/>
    <w:rsid w:val="00B35DD9"/>
    <w:rsid w:val="00B417FA"/>
    <w:rsid w:val="00B4536D"/>
    <w:rsid w:val="00B55971"/>
    <w:rsid w:val="00B62B35"/>
    <w:rsid w:val="00B72DE1"/>
    <w:rsid w:val="00B74204"/>
    <w:rsid w:val="00BA22B9"/>
    <w:rsid w:val="00BA5691"/>
    <w:rsid w:val="00BD1F55"/>
    <w:rsid w:val="00BE4FC0"/>
    <w:rsid w:val="00BE50A4"/>
    <w:rsid w:val="00BF3519"/>
    <w:rsid w:val="00C03987"/>
    <w:rsid w:val="00C14CF1"/>
    <w:rsid w:val="00C169FF"/>
    <w:rsid w:val="00C553B9"/>
    <w:rsid w:val="00C91829"/>
    <w:rsid w:val="00C929FF"/>
    <w:rsid w:val="00C97080"/>
    <w:rsid w:val="00CA3668"/>
    <w:rsid w:val="00CA37B8"/>
    <w:rsid w:val="00CC65EC"/>
    <w:rsid w:val="00CD7197"/>
    <w:rsid w:val="00CE2F44"/>
    <w:rsid w:val="00D015D3"/>
    <w:rsid w:val="00D07C81"/>
    <w:rsid w:val="00D1378A"/>
    <w:rsid w:val="00D27589"/>
    <w:rsid w:val="00D360B2"/>
    <w:rsid w:val="00D464A0"/>
    <w:rsid w:val="00D46710"/>
    <w:rsid w:val="00D5660E"/>
    <w:rsid w:val="00D62FCD"/>
    <w:rsid w:val="00D9269E"/>
    <w:rsid w:val="00DA0909"/>
    <w:rsid w:val="00DC4F80"/>
    <w:rsid w:val="00DD0E29"/>
    <w:rsid w:val="00DE4CB8"/>
    <w:rsid w:val="00E11CBA"/>
    <w:rsid w:val="00E16324"/>
    <w:rsid w:val="00E3735D"/>
    <w:rsid w:val="00E46CD5"/>
    <w:rsid w:val="00E66F2C"/>
    <w:rsid w:val="00EE381C"/>
    <w:rsid w:val="00EF648E"/>
    <w:rsid w:val="00F03689"/>
    <w:rsid w:val="00F05AD1"/>
    <w:rsid w:val="00F1587F"/>
    <w:rsid w:val="00F158D1"/>
    <w:rsid w:val="00F21731"/>
    <w:rsid w:val="00F36DCF"/>
    <w:rsid w:val="00F67CF8"/>
    <w:rsid w:val="00F704D0"/>
    <w:rsid w:val="00F924EC"/>
    <w:rsid w:val="00FB0EFA"/>
    <w:rsid w:val="00FB3A72"/>
    <w:rsid w:val="00FF6BC6"/>
    <w:rsid w:val="272D7268"/>
    <w:rsid w:val="2D6B44BC"/>
    <w:rsid w:val="31391F23"/>
    <w:rsid w:val="38B4096E"/>
    <w:rsid w:val="3B504323"/>
    <w:rsid w:val="4C8243E0"/>
    <w:rsid w:val="786052A6"/>
    <w:rsid w:val="79E3407B"/>
    <w:rsid w:val="7E960D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inorHAnsi" w:hAnsiTheme="minorHAnsi" w:eastAsiaTheme="minorEastAsia" w:cstheme="minorBidi"/>
      <w:sz w:val="22"/>
      <w:szCs w:val="22"/>
      <w:lang w:val="en-US" w:eastAsia="en-US" w:bidi="en-US"/>
    </w:rPr>
  </w:style>
  <w:style w:type="paragraph" w:styleId="3">
    <w:name w:val="heading 1"/>
    <w:basedOn w:val="1"/>
    <w:next w:val="1"/>
    <w:link w:val="24"/>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4">
    <w:name w:val="heading 2"/>
    <w:basedOn w:val="1"/>
    <w:next w:val="1"/>
    <w:link w:val="25"/>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5">
    <w:name w:val="heading 3"/>
    <w:basedOn w:val="1"/>
    <w:next w:val="1"/>
    <w:link w:val="26"/>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6">
    <w:name w:val="heading 4"/>
    <w:basedOn w:val="1"/>
    <w:next w:val="1"/>
    <w:link w:val="27"/>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paragraph" w:styleId="7">
    <w:name w:val="heading 5"/>
    <w:basedOn w:val="1"/>
    <w:next w:val="1"/>
    <w:link w:val="28"/>
    <w:semiHidden/>
    <w:unhideWhenUsed/>
    <w:qFormat/>
    <w:uiPriority w:val="9"/>
    <w:pPr>
      <w:keepNext/>
      <w:keepLines/>
      <w:spacing w:before="200" w:after="0"/>
      <w:outlineLvl w:val="4"/>
    </w:pPr>
    <w:rPr>
      <w:rFonts w:asciiTheme="majorHAnsi" w:hAnsiTheme="majorHAnsi" w:eastAsiaTheme="majorEastAsia" w:cstheme="majorBidi"/>
      <w:color w:val="243F61" w:themeColor="accent1" w:themeShade="7F"/>
    </w:rPr>
  </w:style>
  <w:style w:type="paragraph" w:styleId="8">
    <w:name w:val="heading 6"/>
    <w:basedOn w:val="1"/>
    <w:next w:val="1"/>
    <w:link w:val="29"/>
    <w:semiHidden/>
    <w:unhideWhenUsed/>
    <w:qFormat/>
    <w:uiPriority w:val="9"/>
    <w:pPr>
      <w:keepNext/>
      <w:keepLines/>
      <w:spacing w:before="200" w:after="0"/>
      <w:outlineLvl w:val="5"/>
    </w:pPr>
    <w:rPr>
      <w:rFonts w:asciiTheme="majorHAnsi" w:hAnsiTheme="majorHAnsi" w:eastAsiaTheme="majorEastAsia" w:cstheme="majorBidi"/>
      <w:i/>
      <w:iCs/>
      <w:color w:val="243F61" w:themeColor="accent1" w:themeShade="7F"/>
    </w:rPr>
  </w:style>
  <w:style w:type="paragraph" w:styleId="9">
    <w:name w:val="heading 7"/>
    <w:basedOn w:val="1"/>
    <w:next w:val="1"/>
    <w:link w:val="30"/>
    <w:semiHidden/>
    <w:unhideWhenUsed/>
    <w:qFormat/>
    <w:uiPriority w:val="9"/>
    <w:pPr>
      <w:keepNext/>
      <w:keepLines/>
      <w:spacing w:before="200" w:after="0"/>
      <w:outlineLvl w:val="6"/>
    </w:pPr>
    <w:rPr>
      <w:rFonts w:asciiTheme="majorHAnsi" w:hAnsiTheme="majorHAnsi" w:eastAsiaTheme="majorEastAsia" w:cstheme="majorBidi"/>
      <w:i/>
      <w:iCs/>
      <w:color w:val="3F3F3F" w:themeColor="text1" w:themeTint="BF"/>
    </w:rPr>
  </w:style>
  <w:style w:type="paragraph" w:styleId="10">
    <w:name w:val="heading 8"/>
    <w:basedOn w:val="1"/>
    <w:next w:val="1"/>
    <w:link w:val="31"/>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11">
    <w:name w:val="heading 9"/>
    <w:basedOn w:val="1"/>
    <w:next w:val="1"/>
    <w:link w:val="32"/>
    <w:semiHidden/>
    <w:unhideWhenUsed/>
    <w:qFormat/>
    <w:uiPriority w:val="9"/>
    <w:pPr>
      <w:keepNext/>
      <w:keepLines/>
      <w:spacing w:before="200" w:after="0"/>
      <w:outlineLvl w:val="8"/>
    </w:pPr>
    <w:rPr>
      <w:rFonts w:asciiTheme="majorHAnsi" w:hAnsiTheme="majorHAnsi" w:eastAsiaTheme="majorEastAsia" w:cstheme="majorBidi"/>
      <w:i/>
      <w:iCs/>
      <w:color w:val="3F3F3F" w:themeColor="text1" w:themeTint="BF"/>
      <w:sz w:val="20"/>
      <w:szCs w:val="20"/>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2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caption"/>
    <w:basedOn w:val="1"/>
    <w:next w:val="1"/>
    <w:unhideWhenUsed/>
    <w:qFormat/>
    <w:uiPriority w:val="35"/>
    <w:pPr>
      <w:spacing w:line="240" w:lineRule="auto"/>
    </w:pPr>
    <w:rPr>
      <w:b/>
      <w:bCs/>
      <w:color w:val="4F81BD" w:themeColor="accent1"/>
      <w:sz w:val="18"/>
      <w:szCs w:val="18"/>
    </w:rPr>
  </w:style>
  <w:style w:type="paragraph" w:styleId="13">
    <w:name w:val="Balloon Text"/>
    <w:basedOn w:val="1"/>
    <w:link w:val="33"/>
    <w:semiHidden/>
    <w:unhideWhenUsed/>
    <w:qFormat/>
    <w:uiPriority w:val="99"/>
    <w:pPr>
      <w:spacing w:after="0" w:line="240" w:lineRule="auto"/>
    </w:pPr>
    <w:rPr>
      <w:sz w:val="18"/>
      <w:szCs w:val="18"/>
    </w:rPr>
  </w:style>
  <w:style w:type="paragraph" w:styleId="14">
    <w:name w:val="footer"/>
    <w:basedOn w:val="1"/>
    <w:link w:val="34"/>
    <w:semiHidden/>
    <w:unhideWhenUsed/>
    <w:qFormat/>
    <w:uiPriority w:val="99"/>
    <w:pPr>
      <w:tabs>
        <w:tab w:val="center" w:pos="4153"/>
        <w:tab w:val="right" w:pos="8306"/>
      </w:tabs>
      <w:snapToGrid w:val="0"/>
      <w:spacing w:line="240" w:lineRule="auto"/>
    </w:pPr>
    <w:rPr>
      <w:sz w:val="18"/>
      <w:szCs w:val="18"/>
    </w:rPr>
  </w:style>
  <w:style w:type="paragraph" w:styleId="15">
    <w:name w:val="Subtitle"/>
    <w:basedOn w:val="1"/>
    <w:next w:val="1"/>
    <w:link w:val="35"/>
    <w:qFormat/>
    <w:uiPriority w:val="11"/>
    <w:rPr>
      <w:rFonts w:asciiTheme="majorHAnsi" w:hAnsiTheme="majorHAnsi" w:eastAsiaTheme="majorEastAsia" w:cstheme="majorBidi"/>
      <w:i/>
      <w:iCs/>
      <w:color w:val="4F81BD" w:themeColor="accent1"/>
      <w:spacing w:val="15"/>
      <w:sz w:val="24"/>
      <w:szCs w:val="24"/>
    </w:rPr>
  </w:style>
  <w:style w:type="paragraph" w:styleId="16">
    <w:name w:val="Normal (Web)"/>
    <w:basedOn w:val="1"/>
    <w:uiPriority w:val="0"/>
    <w:pPr>
      <w:widowControl w:val="0"/>
      <w:spacing w:before="100" w:beforeAutospacing="1" w:after="100" w:afterAutospacing="1" w:line="240" w:lineRule="auto"/>
    </w:pPr>
    <w:rPr>
      <w:rFonts w:ascii="Calibri" w:hAnsi="Calibri" w:eastAsia="宋体" w:cs="Times New Roman"/>
      <w:sz w:val="24"/>
      <w:szCs w:val="24"/>
      <w:lang w:eastAsia="zh-CN" w:bidi="ar-SA"/>
    </w:rPr>
  </w:style>
  <w:style w:type="paragraph" w:styleId="17">
    <w:name w:val="Title"/>
    <w:basedOn w:val="1"/>
    <w:next w:val="1"/>
    <w:link w:val="36"/>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Emphasis"/>
    <w:basedOn w:val="20"/>
    <w:qFormat/>
    <w:uiPriority w:val="20"/>
    <w:rPr>
      <w:i/>
      <w:iCs/>
    </w:rPr>
  </w:style>
  <w:style w:type="character" w:customStyle="1" w:styleId="23">
    <w:name w:val="页眉 Char"/>
    <w:basedOn w:val="20"/>
    <w:link w:val="2"/>
    <w:qFormat/>
    <w:uiPriority w:val="99"/>
    <w:rPr>
      <w:sz w:val="18"/>
      <w:szCs w:val="18"/>
    </w:rPr>
  </w:style>
  <w:style w:type="character" w:customStyle="1" w:styleId="24">
    <w:name w:val="标题 1 Char"/>
    <w:basedOn w:val="20"/>
    <w:link w:val="3"/>
    <w:qFormat/>
    <w:uiPriority w:val="9"/>
    <w:rPr>
      <w:rFonts w:asciiTheme="majorHAnsi" w:hAnsiTheme="majorHAnsi" w:eastAsiaTheme="majorEastAsia" w:cstheme="majorBidi"/>
      <w:b/>
      <w:bCs/>
      <w:color w:val="366091" w:themeColor="accent1" w:themeShade="BF"/>
      <w:sz w:val="28"/>
      <w:szCs w:val="28"/>
    </w:rPr>
  </w:style>
  <w:style w:type="character" w:customStyle="1" w:styleId="25">
    <w:name w:val="标题 2 Char"/>
    <w:basedOn w:val="20"/>
    <w:link w:val="4"/>
    <w:semiHidden/>
    <w:qFormat/>
    <w:uiPriority w:val="9"/>
    <w:rPr>
      <w:rFonts w:asciiTheme="majorHAnsi" w:hAnsiTheme="majorHAnsi" w:eastAsiaTheme="majorEastAsia" w:cstheme="majorBidi"/>
      <w:b/>
      <w:bCs/>
      <w:color w:val="4F81BD" w:themeColor="accent1"/>
      <w:sz w:val="26"/>
      <w:szCs w:val="26"/>
    </w:rPr>
  </w:style>
  <w:style w:type="character" w:customStyle="1" w:styleId="26">
    <w:name w:val="标题 3 Char"/>
    <w:basedOn w:val="20"/>
    <w:link w:val="5"/>
    <w:qFormat/>
    <w:uiPriority w:val="9"/>
    <w:rPr>
      <w:rFonts w:asciiTheme="majorHAnsi" w:hAnsiTheme="majorHAnsi" w:eastAsiaTheme="majorEastAsia" w:cstheme="majorBidi"/>
      <w:b/>
      <w:bCs/>
      <w:color w:val="4F81BD" w:themeColor="accent1"/>
    </w:rPr>
  </w:style>
  <w:style w:type="character" w:customStyle="1" w:styleId="27">
    <w:name w:val="标题 4 Char"/>
    <w:basedOn w:val="20"/>
    <w:link w:val="6"/>
    <w:qFormat/>
    <w:uiPriority w:val="9"/>
    <w:rPr>
      <w:rFonts w:asciiTheme="majorHAnsi" w:hAnsiTheme="majorHAnsi" w:eastAsiaTheme="majorEastAsia" w:cstheme="majorBidi"/>
      <w:b/>
      <w:bCs/>
      <w:i/>
      <w:iCs/>
      <w:color w:val="4F81BD" w:themeColor="accent1"/>
    </w:rPr>
  </w:style>
  <w:style w:type="character" w:customStyle="1" w:styleId="28">
    <w:name w:val="标题 5 Char"/>
    <w:basedOn w:val="20"/>
    <w:link w:val="7"/>
    <w:qFormat/>
    <w:uiPriority w:val="9"/>
    <w:rPr>
      <w:rFonts w:asciiTheme="majorHAnsi" w:hAnsiTheme="majorHAnsi" w:eastAsiaTheme="majorEastAsia" w:cstheme="majorBidi"/>
      <w:color w:val="243F61" w:themeColor="accent1" w:themeShade="7F"/>
    </w:rPr>
  </w:style>
  <w:style w:type="character" w:customStyle="1" w:styleId="29">
    <w:name w:val="标题 6 Char"/>
    <w:basedOn w:val="20"/>
    <w:link w:val="8"/>
    <w:qFormat/>
    <w:uiPriority w:val="9"/>
    <w:rPr>
      <w:rFonts w:asciiTheme="majorHAnsi" w:hAnsiTheme="majorHAnsi" w:eastAsiaTheme="majorEastAsia" w:cstheme="majorBidi"/>
      <w:i/>
      <w:iCs/>
      <w:color w:val="243F61" w:themeColor="accent1" w:themeShade="7F"/>
    </w:rPr>
  </w:style>
  <w:style w:type="character" w:customStyle="1" w:styleId="30">
    <w:name w:val="标题 7 Char"/>
    <w:basedOn w:val="20"/>
    <w:link w:val="9"/>
    <w:qFormat/>
    <w:uiPriority w:val="9"/>
    <w:rPr>
      <w:rFonts w:asciiTheme="majorHAnsi" w:hAnsiTheme="majorHAnsi" w:eastAsiaTheme="majorEastAsia" w:cstheme="majorBidi"/>
      <w:i/>
      <w:iCs/>
      <w:color w:val="3F3F3F" w:themeColor="text1" w:themeTint="BF"/>
    </w:rPr>
  </w:style>
  <w:style w:type="character" w:customStyle="1" w:styleId="31">
    <w:name w:val="标题 8 Char"/>
    <w:basedOn w:val="20"/>
    <w:link w:val="10"/>
    <w:qFormat/>
    <w:uiPriority w:val="9"/>
    <w:rPr>
      <w:rFonts w:asciiTheme="majorHAnsi" w:hAnsiTheme="majorHAnsi" w:eastAsiaTheme="majorEastAsia" w:cstheme="majorBidi"/>
      <w:color w:val="4F81BD" w:themeColor="accent1"/>
      <w:sz w:val="20"/>
      <w:szCs w:val="20"/>
    </w:rPr>
  </w:style>
  <w:style w:type="character" w:customStyle="1" w:styleId="32">
    <w:name w:val="标题 9 Char"/>
    <w:basedOn w:val="20"/>
    <w:link w:val="11"/>
    <w:qFormat/>
    <w:uiPriority w:val="9"/>
    <w:rPr>
      <w:rFonts w:asciiTheme="majorHAnsi" w:hAnsiTheme="majorHAnsi" w:eastAsiaTheme="majorEastAsia" w:cstheme="majorBidi"/>
      <w:i/>
      <w:iCs/>
      <w:color w:val="3F3F3F" w:themeColor="text1" w:themeTint="BF"/>
      <w:sz w:val="20"/>
      <w:szCs w:val="20"/>
    </w:rPr>
  </w:style>
  <w:style w:type="character" w:customStyle="1" w:styleId="33">
    <w:name w:val="批注框文本 Char"/>
    <w:basedOn w:val="20"/>
    <w:link w:val="13"/>
    <w:semiHidden/>
    <w:qFormat/>
    <w:uiPriority w:val="99"/>
    <w:rPr>
      <w:sz w:val="18"/>
      <w:szCs w:val="18"/>
    </w:rPr>
  </w:style>
  <w:style w:type="character" w:customStyle="1" w:styleId="34">
    <w:name w:val="页脚 Char"/>
    <w:basedOn w:val="20"/>
    <w:link w:val="14"/>
    <w:semiHidden/>
    <w:qFormat/>
    <w:uiPriority w:val="99"/>
    <w:rPr>
      <w:sz w:val="18"/>
      <w:szCs w:val="18"/>
    </w:rPr>
  </w:style>
  <w:style w:type="character" w:customStyle="1" w:styleId="35">
    <w:name w:val="副标题 Char"/>
    <w:basedOn w:val="20"/>
    <w:link w:val="15"/>
    <w:qFormat/>
    <w:uiPriority w:val="11"/>
    <w:rPr>
      <w:rFonts w:asciiTheme="majorHAnsi" w:hAnsiTheme="majorHAnsi" w:eastAsiaTheme="majorEastAsia" w:cstheme="majorBidi"/>
      <w:i/>
      <w:iCs/>
      <w:color w:val="4F81BD" w:themeColor="accent1"/>
      <w:spacing w:val="15"/>
      <w:sz w:val="24"/>
      <w:szCs w:val="24"/>
    </w:rPr>
  </w:style>
  <w:style w:type="character" w:customStyle="1" w:styleId="36">
    <w:name w:val="标题 Char"/>
    <w:basedOn w:val="20"/>
    <w:link w:val="17"/>
    <w:qFormat/>
    <w:uiPriority w:val="10"/>
    <w:rPr>
      <w:rFonts w:asciiTheme="majorHAnsi" w:hAnsiTheme="majorHAnsi" w:eastAsiaTheme="majorEastAsia" w:cstheme="majorBidi"/>
      <w:color w:val="17365D" w:themeColor="text2" w:themeShade="BF"/>
      <w:spacing w:val="5"/>
      <w:kern w:val="28"/>
      <w:sz w:val="52"/>
      <w:szCs w:val="52"/>
    </w:rPr>
  </w:style>
  <w:style w:type="paragraph" w:styleId="37">
    <w:name w:val="No Spacing"/>
    <w:qFormat/>
    <w:uiPriority w:val="1"/>
    <w:rPr>
      <w:rFonts w:asciiTheme="minorHAnsi" w:hAnsiTheme="minorHAnsi" w:eastAsiaTheme="minorEastAsia" w:cstheme="minorBidi"/>
      <w:sz w:val="22"/>
      <w:szCs w:val="22"/>
      <w:lang w:val="en-US" w:eastAsia="en-US" w:bidi="en-US"/>
    </w:rPr>
  </w:style>
  <w:style w:type="paragraph" w:styleId="38">
    <w:name w:val="List Paragraph"/>
    <w:basedOn w:val="1"/>
    <w:qFormat/>
    <w:uiPriority w:val="34"/>
    <w:pPr>
      <w:ind w:left="720"/>
      <w:contextualSpacing/>
    </w:pPr>
  </w:style>
  <w:style w:type="paragraph" w:styleId="39">
    <w:name w:val="Quote"/>
    <w:basedOn w:val="1"/>
    <w:next w:val="1"/>
    <w:link w:val="40"/>
    <w:qFormat/>
    <w:uiPriority w:val="29"/>
    <w:rPr>
      <w:i/>
      <w:iCs/>
      <w:color w:val="000000" w:themeColor="text1"/>
    </w:rPr>
  </w:style>
  <w:style w:type="character" w:customStyle="1" w:styleId="40">
    <w:name w:val="引用 Char"/>
    <w:basedOn w:val="20"/>
    <w:link w:val="39"/>
    <w:qFormat/>
    <w:uiPriority w:val="29"/>
    <w:rPr>
      <w:i/>
      <w:iCs/>
      <w:color w:val="000000" w:themeColor="text1"/>
    </w:rPr>
  </w:style>
  <w:style w:type="paragraph" w:styleId="41">
    <w:name w:val="Intense Quote"/>
    <w:basedOn w:val="1"/>
    <w:next w:val="1"/>
    <w:link w:val="42"/>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42">
    <w:name w:val="明显引用 Char"/>
    <w:basedOn w:val="20"/>
    <w:link w:val="41"/>
    <w:qFormat/>
    <w:uiPriority w:val="30"/>
    <w:rPr>
      <w:b/>
      <w:bCs/>
      <w:i/>
      <w:iCs/>
      <w:color w:val="4F81BD" w:themeColor="accent1"/>
    </w:rPr>
  </w:style>
  <w:style w:type="character" w:customStyle="1" w:styleId="43">
    <w:name w:val="不明显强调1"/>
    <w:basedOn w:val="20"/>
    <w:qFormat/>
    <w:uiPriority w:val="19"/>
    <w:rPr>
      <w:i/>
      <w:iCs/>
      <w:color w:val="7F7F7F" w:themeColor="text1" w:themeTint="7F"/>
    </w:rPr>
  </w:style>
  <w:style w:type="character" w:customStyle="1" w:styleId="44">
    <w:name w:val="明显强调1"/>
    <w:basedOn w:val="20"/>
    <w:qFormat/>
    <w:uiPriority w:val="21"/>
    <w:rPr>
      <w:b/>
      <w:bCs/>
      <w:i/>
      <w:iCs/>
      <w:color w:val="4F81BD" w:themeColor="accent1"/>
    </w:rPr>
  </w:style>
  <w:style w:type="character" w:customStyle="1" w:styleId="45">
    <w:name w:val="不明显参考1"/>
    <w:basedOn w:val="20"/>
    <w:qFormat/>
    <w:uiPriority w:val="31"/>
    <w:rPr>
      <w:smallCaps/>
      <w:color w:val="C0504D" w:themeColor="accent2"/>
      <w:u w:val="single"/>
    </w:rPr>
  </w:style>
  <w:style w:type="character" w:customStyle="1" w:styleId="46">
    <w:name w:val="明显参考1"/>
    <w:basedOn w:val="20"/>
    <w:qFormat/>
    <w:uiPriority w:val="32"/>
    <w:rPr>
      <w:b/>
      <w:bCs/>
      <w:smallCaps/>
      <w:color w:val="C0504D" w:themeColor="accent2"/>
      <w:spacing w:val="5"/>
      <w:u w:val="single"/>
    </w:rPr>
  </w:style>
  <w:style w:type="character" w:customStyle="1" w:styleId="47">
    <w:name w:val="书籍标题1"/>
    <w:basedOn w:val="20"/>
    <w:qFormat/>
    <w:uiPriority w:val="33"/>
    <w:rPr>
      <w:b/>
      <w:bCs/>
      <w:smallCaps/>
      <w:spacing w:val="5"/>
    </w:rPr>
  </w:style>
  <w:style w:type="paragraph" w:customStyle="1" w:styleId="48">
    <w:name w:val="TOC 标题1"/>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8B156B-732F-4A52-9EE1-7B8C68FA549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321</Words>
  <Characters>1831</Characters>
  <Lines>15</Lines>
  <Paragraphs>4</Paragraphs>
  <TotalTime>1</TotalTime>
  <ScaleCrop>false</ScaleCrop>
  <LinksUpToDate>false</LinksUpToDate>
  <CharactersWithSpaces>2148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2021-10-14T02:27:00Z</dcterms:created>
  <dc:creator>admin</dc:creator>
  <cp:lastModifiedBy>admin</cp:lastModifiedBy>
  <dcterms:modified xsi:type="dcterms:W3CDTF">2023-03-14T06:56:27Z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DEE93C54DCC547C39A6FC5C70B0EB5F5</vt:lpwstr>
  </property>
</Properties>
</file>