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cs="仿宋_GB2312"/>
          <w:b/>
          <w:sz w:val="32"/>
          <w:szCs w:val="32"/>
        </w:rPr>
      </w:pPr>
      <w:r>
        <w:rPr>
          <w:rFonts w:hint="eastAsia" w:ascii="仿宋" w:hAnsi="仿宋" w:eastAsia="仿宋" w:cs="仿宋_GB2312"/>
          <w:b/>
          <w:sz w:val="32"/>
          <w:szCs w:val="32"/>
        </w:rPr>
        <w:t>湖州师范学院教师教育学院师范生智慧教学实验室二期设备采购项目</w:t>
      </w:r>
    </w:p>
    <w:p>
      <w:pPr>
        <w:adjustRightInd w:val="0"/>
        <w:snapToGrid w:val="0"/>
        <w:jc w:val="center"/>
        <w:rPr>
          <w:rFonts w:ascii="仿宋" w:hAnsi="仿宋" w:eastAsia="仿宋" w:cs="仿宋_GB2312"/>
          <w:b/>
          <w:sz w:val="32"/>
          <w:szCs w:val="32"/>
        </w:rPr>
      </w:pPr>
      <w:r>
        <w:rPr>
          <w:rFonts w:hint="eastAsia" w:ascii="仿宋" w:hAnsi="仿宋" w:eastAsia="仿宋" w:cs="仿宋_GB2312"/>
          <w:b/>
          <w:sz w:val="32"/>
          <w:szCs w:val="32"/>
        </w:rPr>
        <w:t>询价文件</w:t>
      </w:r>
      <w:bookmarkStart w:id="0" w:name="_GoBack"/>
      <w:bookmarkEnd w:id="0"/>
    </w:p>
    <w:p>
      <w:pPr>
        <w:rPr>
          <w:rFonts w:ascii="仿宋" w:hAnsi="仿宋" w:eastAsia="仿宋" w:cs="仿宋_GB2312"/>
          <w:b/>
          <w:sz w:val="24"/>
        </w:rPr>
      </w:pPr>
    </w:p>
    <w:p>
      <w:pPr>
        <w:ind w:firstLine="472" w:firstLineChars="196"/>
        <w:rPr>
          <w:rFonts w:ascii="仿宋" w:hAnsi="仿宋" w:eastAsia="仿宋" w:cs="仿宋_GB2312"/>
          <w:b/>
          <w:sz w:val="24"/>
        </w:rPr>
      </w:pPr>
      <w:r>
        <w:rPr>
          <w:rFonts w:hint="eastAsia" w:ascii="仿宋" w:hAnsi="仿宋" w:eastAsia="仿宋" w:cs="仿宋_GB2312"/>
          <w:b/>
          <w:sz w:val="24"/>
        </w:rPr>
        <w:t>一、采购项目名称、采购清单及要求：</w:t>
      </w:r>
    </w:p>
    <w:p>
      <w:pPr>
        <w:ind w:firstLine="482" w:firstLineChars="200"/>
        <w:rPr>
          <w:rFonts w:ascii="仿宋" w:hAnsi="仿宋" w:eastAsia="仿宋" w:cs="宋体"/>
          <w:kern w:val="0"/>
          <w:sz w:val="24"/>
        </w:rPr>
      </w:pPr>
      <w:r>
        <w:rPr>
          <w:rFonts w:ascii="仿宋" w:hAnsi="仿宋" w:eastAsia="仿宋" w:cs="仿宋_GB2312"/>
          <w:b/>
          <w:sz w:val="24"/>
        </w:rPr>
        <w:t>1.</w:t>
      </w:r>
      <w:r>
        <w:rPr>
          <w:rFonts w:hint="eastAsia" w:ascii="仿宋" w:hAnsi="仿宋" w:eastAsia="仿宋" w:cs="仿宋_GB2312"/>
          <w:b/>
          <w:sz w:val="24"/>
        </w:rPr>
        <w:t>采购项目名称：</w:t>
      </w:r>
      <w:r>
        <w:rPr>
          <w:rFonts w:hint="eastAsia" w:ascii="仿宋" w:hAnsi="仿宋" w:eastAsia="仿宋" w:cs="宋体"/>
          <w:kern w:val="0"/>
          <w:sz w:val="24"/>
        </w:rPr>
        <w:t>湖州师范学院教师教育学院师范生智慧教学实验室二期设备采购项目</w:t>
      </w:r>
    </w:p>
    <w:p>
      <w:pPr>
        <w:ind w:firstLine="482" w:firstLineChars="200"/>
        <w:rPr>
          <w:rFonts w:ascii="仿宋" w:hAnsi="仿宋" w:eastAsia="仿宋" w:cs="仿宋_GB2312"/>
          <w:sz w:val="24"/>
        </w:rPr>
      </w:pPr>
      <w:r>
        <w:rPr>
          <w:rFonts w:ascii="仿宋" w:hAnsi="仿宋" w:eastAsia="仿宋" w:cs="仿宋_GB2312"/>
          <w:b/>
          <w:sz w:val="24"/>
        </w:rPr>
        <w:t>2.</w:t>
      </w:r>
      <w:r>
        <w:rPr>
          <w:rFonts w:hint="eastAsia" w:ascii="仿宋" w:hAnsi="仿宋" w:eastAsia="仿宋" w:cs="仿宋_GB2312"/>
          <w:b/>
          <w:sz w:val="24"/>
        </w:rPr>
        <w:t>采购项目编号：</w:t>
      </w:r>
      <w:r>
        <w:rPr>
          <w:rFonts w:hint="eastAsia" w:ascii="仿宋" w:hAnsi="仿宋" w:eastAsia="仿宋" w:cs="仿宋_GB2312"/>
          <w:sz w:val="24"/>
        </w:rPr>
        <w:t>XZ2024-040</w:t>
      </w:r>
    </w:p>
    <w:p>
      <w:pPr>
        <w:ind w:firstLine="482" w:firstLineChars="200"/>
        <w:rPr>
          <w:rFonts w:ascii="仿宋" w:hAnsi="仿宋" w:eastAsia="仿宋" w:cs="仿宋_GB2312"/>
          <w:sz w:val="24"/>
        </w:rPr>
      </w:pPr>
      <w:r>
        <w:rPr>
          <w:rFonts w:ascii="仿宋" w:hAnsi="仿宋" w:eastAsia="仿宋" w:cs="仿宋_GB2312"/>
          <w:b/>
          <w:sz w:val="24"/>
        </w:rPr>
        <w:t>3.</w:t>
      </w:r>
      <w:r>
        <w:rPr>
          <w:rFonts w:hint="eastAsia" w:ascii="仿宋" w:hAnsi="仿宋" w:eastAsia="仿宋" w:cs="仿宋_GB2312"/>
          <w:b/>
          <w:sz w:val="24"/>
        </w:rPr>
        <w:t>采购组织类型：</w:t>
      </w:r>
      <w:r>
        <w:rPr>
          <w:rFonts w:hint="eastAsia" w:ascii="仿宋" w:hAnsi="仿宋" w:eastAsia="仿宋" w:cs="仿宋_GB2312"/>
          <w:sz w:val="24"/>
        </w:rPr>
        <w:t>分散采购自行组织</w:t>
      </w:r>
    </w:p>
    <w:p>
      <w:pPr>
        <w:ind w:firstLine="482" w:firstLineChars="200"/>
        <w:rPr>
          <w:rFonts w:ascii="仿宋" w:hAnsi="仿宋" w:eastAsia="仿宋" w:cs="仿宋_GB2312"/>
          <w:sz w:val="24"/>
        </w:rPr>
      </w:pPr>
      <w:r>
        <w:rPr>
          <w:rFonts w:ascii="仿宋" w:hAnsi="仿宋" w:eastAsia="仿宋" w:cs="仿宋_GB2312"/>
          <w:b/>
          <w:sz w:val="24"/>
        </w:rPr>
        <w:t>4.</w:t>
      </w:r>
      <w:r>
        <w:rPr>
          <w:rFonts w:hint="eastAsia" w:ascii="仿宋" w:hAnsi="仿宋" w:eastAsia="仿宋" w:cs="仿宋_GB2312"/>
          <w:b/>
          <w:sz w:val="24"/>
        </w:rPr>
        <w:t>采购方式：</w:t>
      </w:r>
      <w:r>
        <w:rPr>
          <w:rFonts w:hint="eastAsia" w:ascii="仿宋" w:hAnsi="仿宋" w:eastAsia="仿宋" w:cs="仿宋_GB2312"/>
          <w:sz w:val="24"/>
        </w:rPr>
        <w:t>校内询价</w:t>
      </w:r>
    </w:p>
    <w:p>
      <w:pPr>
        <w:ind w:firstLine="482" w:firstLineChars="200"/>
        <w:rPr>
          <w:rFonts w:ascii="仿宋" w:hAnsi="仿宋" w:eastAsia="仿宋" w:cs="仿宋_GB2312"/>
          <w:b/>
          <w:sz w:val="24"/>
        </w:rPr>
      </w:pPr>
      <w:r>
        <w:rPr>
          <w:rFonts w:ascii="仿宋" w:hAnsi="仿宋" w:eastAsia="仿宋" w:cs="仿宋_GB2312"/>
          <w:b/>
          <w:sz w:val="24"/>
        </w:rPr>
        <w:t>5.</w:t>
      </w:r>
      <w:r>
        <w:rPr>
          <w:rFonts w:hint="eastAsia" w:ascii="仿宋" w:hAnsi="仿宋" w:eastAsia="仿宋" w:cs="仿宋_GB2312"/>
          <w:b/>
          <w:sz w:val="24"/>
        </w:rPr>
        <w:t>采购预算：</w:t>
      </w:r>
      <w:r>
        <w:rPr>
          <w:rFonts w:hint="eastAsia" w:ascii="仿宋" w:hAnsi="仿宋" w:eastAsia="仿宋" w:cs="仿宋_GB2312"/>
          <w:bCs/>
          <w:sz w:val="24"/>
        </w:rPr>
        <w:t>人民币：叁拾壹万玖仟元整（￥319000元），包含货物费、运输费、安装调试费、服务费、税费等全部费用在内。</w:t>
      </w:r>
    </w:p>
    <w:p>
      <w:pPr>
        <w:ind w:firstLine="482" w:firstLineChars="200"/>
        <w:rPr>
          <w:rFonts w:ascii="仿宋" w:hAnsi="仿宋" w:eastAsia="仿宋" w:cs="仿宋_GB2312"/>
          <w:sz w:val="24"/>
        </w:rPr>
      </w:pPr>
      <w:r>
        <w:rPr>
          <w:rFonts w:ascii="仿宋" w:hAnsi="仿宋" w:eastAsia="仿宋" w:cs="仿宋_GB2312"/>
          <w:b/>
          <w:sz w:val="24"/>
        </w:rPr>
        <w:t>6.</w:t>
      </w:r>
      <w:r>
        <w:rPr>
          <w:rFonts w:hint="eastAsia" w:ascii="仿宋" w:hAnsi="仿宋" w:eastAsia="仿宋" w:cs="仿宋_GB2312"/>
          <w:b/>
          <w:sz w:val="24"/>
        </w:rPr>
        <w:t>采购清单</w:t>
      </w:r>
      <w:r>
        <w:rPr>
          <w:rFonts w:hint="eastAsia" w:ascii="仿宋" w:hAnsi="仿宋" w:eastAsia="仿宋" w:cs="仿宋_GB2312"/>
          <w:sz w:val="24"/>
        </w:rPr>
        <w:t>（包括货物名称、技术参数、数量、单位等）：</w:t>
      </w:r>
    </w:p>
    <w:tbl>
      <w:tblPr>
        <w:tblStyle w:val="12"/>
        <w:tblW w:w="7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778"/>
        <w:gridCol w:w="1236"/>
        <w:gridCol w:w="79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2" w:type="dxa"/>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序号</w:t>
            </w:r>
          </w:p>
        </w:tc>
        <w:tc>
          <w:tcPr>
            <w:tcW w:w="3778" w:type="dxa"/>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名称</w:t>
            </w:r>
          </w:p>
        </w:tc>
        <w:tc>
          <w:tcPr>
            <w:tcW w:w="1236" w:type="dxa"/>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技术参数需求</w:t>
            </w:r>
          </w:p>
        </w:tc>
        <w:tc>
          <w:tcPr>
            <w:tcW w:w="793" w:type="dxa"/>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单位</w:t>
            </w:r>
          </w:p>
        </w:tc>
        <w:tc>
          <w:tcPr>
            <w:tcW w:w="847" w:type="dxa"/>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推拉绿板（定制）</w:t>
            </w:r>
          </w:p>
        </w:tc>
        <w:tc>
          <w:tcPr>
            <w:tcW w:w="1236" w:type="dxa"/>
            <w:vMerge w:val="restart"/>
            <w:vAlign w:val="center"/>
          </w:tcPr>
          <w:p>
            <w:pPr>
              <w:jc w:val="center"/>
              <w:rPr>
                <w:rFonts w:ascii="仿宋" w:hAnsi="仿宋" w:eastAsia="仿宋" w:cs="宋体"/>
                <w:kern w:val="0"/>
                <w:sz w:val="24"/>
              </w:rPr>
            </w:pPr>
            <w:r>
              <w:rPr>
                <w:rFonts w:hint="eastAsia" w:ascii="仿宋" w:hAnsi="仿宋" w:eastAsia="仿宋" w:cs="宋体"/>
                <w:kern w:val="0"/>
                <w:sz w:val="24"/>
              </w:rPr>
              <w:t>详见附件2技术参数需求表</w:t>
            </w: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高清录播主机</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3</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终端管理软件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4</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老师高清摄像机</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学生高清摄像机</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6</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全向拾音麦克风</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7</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独显终端(附影音集</w:t>
            </w:r>
            <w:r>
              <w:rPr>
                <w:rFonts w:hint="eastAsia" w:ascii="仿宋" w:hAnsi="仿宋" w:eastAsia="仿宋" w:cs="宋体"/>
                <w:kern w:val="0"/>
                <w:sz w:val="24"/>
              </w:rPr>
              <w:br w:type="textWrapping"/>
            </w:r>
            <w:r>
              <w:rPr>
                <w:rFonts w:hint="eastAsia" w:ascii="仿宋" w:hAnsi="仿宋" w:eastAsia="仿宋" w:cs="宋体"/>
                <w:kern w:val="0"/>
                <w:sz w:val="24"/>
              </w:rPr>
              <w:t>成终端系统软件)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8</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近景摄像机(附摄像机系统软件）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9</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控制面板</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10</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钢木讲台（定制）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11</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吸顶空调</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12</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立式空调</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13</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85寸电视机</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14</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灯具</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件</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15</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会议桌（定制）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16</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智能控制器</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17</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白板</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18</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储物柜（定制）</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19</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 xml:space="preserve"> 视频会议摄像头一体机</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20</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无线投屏器</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21</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门禁</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22</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电动螺丝刀</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23</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吸尘器</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jc w:val="center"/>
              <w:rPr>
                <w:rFonts w:ascii="仿宋" w:hAnsi="仿宋" w:eastAsia="仿宋" w:cs="宋体"/>
                <w:kern w:val="0"/>
                <w:sz w:val="24"/>
              </w:rPr>
            </w:pPr>
            <w:r>
              <w:rPr>
                <w:rFonts w:hint="eastAsia" w:ascii="仿宋" w:hAnsi="仿宋" w:eastAsia="仿宋" w:cs="宋体"/>
                <w:kern w:val="0"/>
                <w:sz w:val="24"/>
              </w:rPr>
              <w:t>24</w:t>
            </w:r>
          </w:p>
        </w:tc>
        <w:tc>
          <w:tcPr>
            <w:tcW w:w="3778" w:type="dxa"/>
            <w:vAlign w:val="center"/>
          </w:tcPr>
          <w:p>
            <w:pPr>
              <w:jc w:val="center"/>
              <w:rPr>
                <w:rFonts w:ascii="仿宋" w:hAnsi="仿宋" w:eastAsia="仿宋" w:cs="宋体"/>
                <w:kern w:val="0"/>
                <w:sz w:val="24"/>
              </w:rPr>
            </w:pPr>
            <w:r>
              <w:rPr>
                <w:rFonts w:hint="eastAsia" w:ascii="仿宋" w:hAnsi="仿宋" w:eastAsia="仿宋" w:cs="宋体"/>
                <w:kern w:val="0"/>
                <w:sz w:val="24"/>
              </w:rPr>
              <w:t>室内wifi</w:t>
            </w:r>
          </w:p>
        </w:tc>
        <w:tc>
          <w:tcPr>
            <w:tcW w:w="1236" w:type="dxa"/>
            <w:vMerge w:val="continue"/>
            <w:vAlign w:val="center"/>
          </w:tcPr>
          <w:p>
            <w:pPr>
              <w:jc w:val="center"/>
              <w:rPr>
                <w:rFonts w:ascii="仿宋" w:hAnsi="仿宋" w:eastAsia="仿宋" w:cs="宋体"/>
                <w:kern w:val="0"/>
                <w:sz w:val="24"/>
              </w:rPr>
            </w:pPr>
          </w:p>
        </w:tc>
        <w:tc>
          <w:tcPr>
            <w:tcW w:w="793" w:type="dxa"/>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847" w:type="dxa"/>
            <w:vAlign w:val="center"/>
          </w:tcPr>
          <w:p>
            <w:pPr>
              <w:jc w:val="center"/>
              <w:rPr>
                <w:rFonts w:ascii="仿宋" w:hAnsi="仿宋" w:eastAsia="仿宋" w:cs="宋体"/>
                <w:kern w:val="0"/>
                <w:sz w:val="24"/>
              </w:rPr>
            </w:pPr>
            <w:r>
              <w:rPr>
                <w:rFonts w:hint="eastAsia" w:ascii="仿宋" w:hAnsi="仿宋" w:eastAsia="仿宋" w:cs="宋体"/>
                <w:kern w:val="0"/>
                <w:sz w:val="24"/>
              </w:rPr>
              <w:t>1</w:t>
            </w:r>
          </w:p>
        </w:tc>
      </w:tr>
    </w:tbl>
    <w:p>
      <w:pPr>
        <w:ind w:firstLine="482" w:firstLineChars="200"/>
        <w:rPr>
          <w:rFonts w:ascii="仿宋" w:hAnsi="仿宋" w:eastAsia="仿宋" w:cs="宋体"/>
          <w:kern w:val="0"/>
          <w:sz w:val="24"/>
        </w:rPr>
      </w:pPr>
      <w:r>
        <w:rPr>
          <w:rFonts w:hint="eastAsia" w:ascii="仿宋" w:hAnsi="仿宋" w:eastAsia="仿宋" w:cs="宋体"/>
          <w:b/>
          <w:bCs/>
          <w:kern w:val="0"/>
          <w:sz w:val="24"/>
        </w:rPr>
        <w:t>7.相关要求</w:t>
      </w:r>
      <w:r>
        <w:rPr>
          <w:rFonts w:hint="eastAsia" w:ascii="仿宋" w:hAnsi="仿宋" w:eastAsia="仿宋" w:cs="宋体"/>
          <w:kern w:val="0"/>
          <w:sz w:val="24"/>
        </w:rPr>
        <w:t>：</w:t>
      </w:r>
    </w:p>
    <w:p>
      <w:pPr>
        <w:ind w:firstLine="480" w:firstLineChars="200"/>
        <w:rPr>
          <w:rFonts w:ascii="仿宋" w:hAnsi="仿宋" w:eastAsia="仿宋" w:cs="宋体"/>
          <w:kern w:val="0"/>
          <w:sz w:val="24"/>
        </w:rPr>
      </w:pPr>
      <w:r>
        <w:rPr>
          <w:rFonts w:hint="eastAsia" w:ascii="仿宋" w:hAnsi="仿宋" w:eastAsia="仿宋" w:cs="宋体"/>
          <w:kern w:val="0"/>
          <w:sz w:val="24"/>
        </w:rPr>
        <w:t>①高清录播主机与终端管理软件和高清摄像机设备须为同一品牌。</w:t>
      </w:r>
    </w:p>
    <w:p>
      <w:pPr>
        <w:pStyle w:val="2"/>
        <w:ind w:firstLine="480" w:firstLineChars="200"/>
        <w:rPr>
          <w:rFonts w:ascii="仿宋" w:hAnsi="仿宋" w:eastAsia="仿宋" w:cs="宋体"/>
          <w:kern w:val="0"/>
          <w:sz w:val="24"/>
          <w:szCs w:val="24"/>
        </w:rPr>
      </w:pPr>
      <w:r>
        <w:rPr>
          <w:rFonts w:hint="eastAsia" w:ascii="仿宋" w:hAnsi="仿宋" w:eastAsia="仿宋" w:cs="宋体"/>
          <w:kern w:val="0"/>
          <w:sz w:val="24"/>
          <w:szCs w:val="24"/>
        </w:rPr>
        <w:t>②独显终端与终端系统软件和近景摄像机须为同一品牌。</w:t>
      </w:r>
    </w:p>
    <w:p>
      <w:pPr>
        <w:ind w:firstLine="480" w:firstLineChars="200"/>
        <w:rPr>
          <w:rFonts w:ascii="仿宋" w:hAnsi="仿宋" w:eastAsia="仿宋" w:cs="宋体"/>
          <w:kern w:val="0"/>
          <w:sz w:val="24"/>
        </w:rPr>
      </w:pPr>
      <w:r>
        <w:rPr>
          <w:rFonts w:hint="eastAsia" w:ascii="仿宋" w:hAnsi="仿宋" w:eastAsia="仿宋" w:cs="宋体"/>
          <w:kern w:val="0"/>
          <w:sz w:val="24"/>
        </w:rPr>
        <w:t>③本项目安装调试包含强弱电布线，须根据现场布置开槽布线布管接线，要求布线整洁清晰到位，施工人员须具备相应资质，安全组织工作由投标人负责。</w:t>
      </w:r>
    </w:p>
    <w:p>
      <w:pPr>
        <w:ind w:firstLine="480" w:firstLineChars="200"/>
        <w:rPr>
          <w:rFonts w:ascii="仿宋" w:hAnsi="仿宋" w:eastAsia="仿宋" w:cs="宋体"/>
          <w:kern w:val="0"/>
          <w:sz w:val="24"/>
        </w:rPr>
      </w:pPr>
      <w:r>
        <w:rPr>
          <w:rFonts w:hint="eastAsia" w:ascii="仿宋" w:hAnsi="仿宋" w:eastAsia="仿宋" w:cs="宋体"/>
          <w:kern w:val="0"/>
          <w:sz w:val="24"/>
        </w:rPr>
        <w:t>④本项目为</w:t>
      </w:r>
      <w:r>
        <w:rPr>
          <w:rFonts w:ascii="仿宋" w:hAnsi="仿宋" w:eastAsia="仿宋" w:cs="宋体"/>
          <w:kern w:val="0"/>
          <w:sz w:val="24"/>
        </w:rPr>
        <w:t>扩容项目，</w:t>
      </w:r>
      <w:r>
        <w:rPr>
          <w:rFonts w:hint="eastAsia" w:ascii="仿宋" w:hAnsi="仿宋" w:eastAsia="仿宋" w:cs="宋体"/>
          <w:kern w:val="0"/>
          <w:sz w:val="24"/>
        </w:rPr>
        <w:t>高清</w:t>
      </w:r>
      <w:r>
        <w:rPr>
          <w:rFonts w:ascii="仿宋" w:hAnsi="仿宋" w:eastAsia="仿宋" w:cs="宋体"/>
          <w:kern w:val="0"/>
          <w:sz w:val="24"/>
        </w:rPr>
        <w:t>录播主机</w:t>
      </w:r>
      <w:r>
        <w:rPr>
          <w:rFonts w:hint="eastAsia" w:ascii="仿宋" w:hAnsi="仿宋" w:eastAsia="仿宋" w:cs="宋体"/>
          <w:kern w:val="0"/>
          <w:sz w:val="24"/>
        </w:rPr>
        <w:t>须</w:t>
      </w:r>
      <w:r>
        <w:rPr>
          <w:rFonts w:ascii="仿宋" w:hAnsi="仿宋" w:eastAsia="仿宋" w:cs="宋体"/>
          <w:kern w:val="0"/>
          <w:sz w:val="24"/>
        </w:rPr>
        <w:t>满足和用户原有实训平台的无缝对接，实现平台预约排课，录播设备自动开启，自动录制，直播，视频归档等功能</w:t>
      </w:r>
      <w:r>
        <w:rPr>
          <w:rFonts w:hint="eastAsia" w:ascii="仿宋" w:hAnsi="仿宋" w:eastAsia="仿宋" w:cs="宋体"/>
          <w:kern w:val="0"/>
          <w:sz w:val="24"/>
        </w:rPr>
        <w:t>。高清录播主机须满足和用户原有音视频AI分析系统无缝对接，实现录制视频的视频及音频的分析，并能在平台呈现分析结果。</w:t>
      </w:r>
      <w:r>
        <w:rPr>
          <w:rFonts w:hint="eastAsia" w:ascii="仿宋" w:hAnsi="仿宋" w:eastAsia="仿宋" w:cs="宋体"/>
          <w:b/>
          <w:bCs/>
          <w:kern w:val="0"/>
          <w:sz w:val="24"/>
        </w:rPr>
        <w:t>投标时提供由厂家出具无缝对接承诺函。</w:t>
      </w:r>
      <w:r>
        <w:rPr>
          <w:rFonts w:hint="eastAsia" w:ascii="仿宋" w:hAnsi="仿宋" w:eastAsia="仿宋" w:cs="宋体"/>
          <w:kern w:val="0"/>
          <w:sz w:val="24"/>
        </w:rPr>
        <w:t xml:space="preserve"> 如需咨询原有平台对接要求，可联系采购需求单位冯老师，电话：13757262456。</w:t>
      </w:r>
    </w:p>
    <w:p>
      <w:pPr>
        <w:ind w:firstLine="472" w:firstLineChars="196"/>
        <w:rPr>
          <w:rFonts w:ascii="仿宋" w:hAnsi="仿宋" w:eastAsia="仿宋"/>
          <w:b/>
          <w:bCs/>
          <w:sz w:val="24"/>
        </w:rPr>
      </w:pPr>
      <w:r>
        <w:rPr>
          <w:rFonts w:hint="eastAsia" w:ascii="仿宋" w:hAnsi="仿宋" w:eastAsia="仿宋"/>
          <w:b/>
          <w:bCs/>
          <w:sz w:val="24"/>
        </w:rPr>
        <w:t>二、投标文件要求</w:t>
      </w:r>
    </w:p>
    <w:p>
      <w:pPr>
        <w:spacing w:line="340" w:lineRule="exact"/>
        <w:ind w:firstLine="480" w:firstLineChars="200"/>
        <w:jc w:val="left"/>
        <w:rPr>
          <w:rFonts w:ascii="仿宋" w:hAnsi="仿宋" w:eastAsia="仿宋"/>
          <w:sz w:val="24"/>
        </w:rPr>
      </w:pPr>
      <w:r>
        <w:rPr>
          <w:rFonts w:hint="eastAsia" w:ascii="仿宋" w:hAnsi="仿宋" w:eastAsia="仿宋"/>
          <w:sz w:val="24"/>
        </w:rPr>
        <w:t>投标人的投标文件中应包含以下内容（投标文件密封，一式两份，一正一副，胶装成册。所有证件均须真实、有效，复印件均须加盖公章，缺少以下任意一项内容即作无效标处理）：</w:t>
      </w:r>
    </w:p>
    <w:p>
      <w:pPr>
        <w:ind w:firstLine="480" w:firstLineChars="200"/>
        <w:jc w:val="left"/>
        <w:rPr>
          <w:rFonts w:ascii="仿宋" w:hAnsi="仿宋" w:eastAsia="仿宋" w:cs="宋体"/>
          <w:sz w:val="24"/>
        </w:rPr>
      </w:pPr>
      <w:r>
        <w:rPr>
          <w:rFonts w:ascii="仿宋" w:hAnsi="仿宋" w:eastAsia="仿宋"/>
          <w:sz w:val="24"/>
        </w:rPr>
        <w:t>1.</w:t>
      </w:r>
      <w:r>
        <w:rPr>
          <w:rFonts w:hint="eastAsia" w:ascii="仿宋" w:hAnsi="仿宋" w:eastAsia="仿宋"/>
          <w:sz w:val="24"/>
        </w:rPr>
        <w:t>投标报价清单</w:t>
      </w:r>
      <w:r>
        <w:rPr>
          <w:rFonts w:ascii="仿宋" w:hAnsi="仿宋" w:eastAsia="仿宋"/>
          <w:sz w:val="24"/>
        </w:rPr>
        <w:t>(</w:t>
      </w:r>
      <w:r>
        <w:rPr>
          <w:rFonts w:hint="eastAsia" w:ascii="仿宋" w:hAnsi="仿宋" w:eastAsia="仿宋" w:cs="仿宋_GB2312"/>
          <w:sz w:val="24"/>
        </w:rPr>
        <w:t>含货物费、运输费、安装调试费、保险费、服务费、税费等全部费用。</w:t>
      </w:r>
      <w:r>
        <w:rPr>
          <w:rFonts w:hint="eastAsia" w:ascii="仿宋" w:hAnsi="仿宋" w:eastAsia="仿宋"/>
          <w:sz w:val="24"/>
        </w:rPr>
        <w:t>投标报价高于采购预算者视为无效报价。报价以人民币计，并以大写为准</w:t>
      </w:r>
      <w:r>
        <w:rPr>
          <w:rFonts w:ascii="仿宋" w:hAnsi="仿宋" w:eastAsia="仿宋"/>
          <w:sz w:val="24"/>
        </w:rPr>
        <w:t>)</w:t>
      </w:r>
      <w:r>
        <w:rPr>
          <w:rFonts w:hint="eastAsia" w:ascii="仿宋" w:hAnsi="仿宋" w:eastAsia="仿宋" w:cs="宋体"/>
          <w:sz w:val="24"/>
        </w:rPr>
        <w:t>。</w:t>
      </w:r>
      <w:r>
        <w:rPr>
          <w:rFonts w:hint="eastAsia" w:ascii="仿宋" w:hAnsi="仿宋" w:eastAsia="仿宋" w:cs="仿宋_GB2312"/>
          <w:b/>
          <w:bCs/>
          <w:sz w:val="24"/>
        </w:rPr>
        <w:t>投标报价清单见附件1；</w:t>
      </w:r>
    </w:p>
    <w:p>
      <w:pPr>
        <w:ind w:firstLine="480" w:firstLineChars="200"/>
        <w:jc w:val="left"/>
        <w:rPr>
          <w:rFonts w:ascii="仿宋" w:hAnsi="仿宋" w:eastAsia="仿宋"/>
          <w:sz w:val="24"/>
        </w:rPr>
      </w:pPr>
      <w:r>
        <w:rPr>
          <w:rFonts w:ascii="仿宋" w:hAnsi="仿宋" w:eastAsia="仿宋"/>
          <w:sz w:val="24"/>
        </w:rPr>
        <w:t>2.</w:t>
      </w:r>
      <w:r>
        <w:rPr>
          <w:rFonts w:hint="eastAsia" w:ascii="仿宋" w:hAnsi="仿宋" w:eastAsia="仿宋"/>
          <w:sz w:val="24"/>
        </w:rPr>
        <w:t>有效的营业执照副本复印件、税务登记证副本复印件；或“三证合一”营业执照副本复印件；或“五证合一”营业执照副本复印件；</w:t>
      </w:r>
    </w:p>
    <w:p>
      <w:pPr>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cs="仿宋_GB2312"/>
          <w:sz w:val="24"/>
        </w:rPr>
        <w:t>投标人开户银行、户名、账号；</w:t>
      </w:r>
    </w:p>
    <w:p>
      <w:pPr>
        <w:pStyle w:val="2"/>
        <w:ind w:firstLine="480" w:firstLineChars="200"/>
        <w:rPr>
          <w:rFonts w:eastAsia="仿宋"/>
        </w:rPr>
      </w:pPr>
      <w:r>
        <w:rPr>
          <w:rFonts w:hint="eastAsia" w:ascii="仿宋" w:hAnsi="仿宋" w:eastAsia="仿宋"/>
          <w:sz w:val="24"/>
        </w:rPr>
        <w:t>4.</w:t>
      </w:r>
      <w:r>
        <w:rPr>
          <w:rFonts w:hint="eastAsia" w:ascii="仿宋" w:hAnsi="仿宋" w:eastAsia="仿宋" w:cs="宋体"/>
          <w:kern w:val="0"/>
          <w:sz w:val="24"/>
          <w:szCs w:val="24"/>
        </w:rPr>
        <w:t>高清录播主机、终端管理软件、高清摄像机、独显终端、近景摄像机原厂质保函</w:t>
      </w:r>
      <w:r>
        <w:rPr>
          <w:rFonts w:hint="eastAsia" w:ascii="仿宋" w:hAnsi="仿宋" w:eastAsia="仿宋"/>
          <w:sz w:val="24"/>
        </w:rPr>
        <w:t>；</w:t>
      </w:r>
    </w:p>
    <w:p>
      <w:pPr>
        <w:ind w:firstLine="480" w:firstLineChars="200"/>
        <w:jc w:val="left"/>
        <w:rPr>
          <w:rFonts w:ascii="仿宋" w:hAnsi="仿宋" w:eastAsia="仿宋"/>
          <w:sz w:val="24"/>
        </w:rPr>
      </w:pPr>
      <w:r>
        <w:rPr>
          <w:rFonts w:hint="eastAsia" w:ascii="仿宋" w:hAnsi="仿宋" w:eastAsia="仿宋"/>
          <w:sz w:val="24"/>
        </w:rPr>
        <w:t>5.投标代表身份证复印件；如非法定代表人投标，另提供法定代表人授权委托书原件、法定代表人身份证复印件；投标代表需提供在本单位近三个月缴纳社保的凭证；</w:t>
      </w:r>
    </w:p>
    <w:p>
      <w:pPr>
        <w:ind w:firstLine="480" w:firstLineChars="200"/>
        <w:jc w:val="left"/>
        <w:rPr>
          <w:rFonts w:ascii="仿宋" w:hAnsi="仿宋" w:eastAsia="仿宋"/>
          <w:sz w:val="24"/>
        </w:rPr>
      </w:pPr>
      <w:r>
        <w:rPr>
          <w:rFonts w:hint="eastAsia" w:ascii="仿宋" w:hAnsi="仿宋" w:eastAsia="仿宋"/>
          <w:sz w:val="24"/>
        </w:rPr>
        <w:t>6.投标产品质量及售后服务承诺书；</w:t>
      </w:r>
    </w:p>
    <w:p>
      <w:pPr>
        <w:ind w:firstLine="480" w:firstLineChars="200"/>
        <w:jc w:val="left"/>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投标产品的技术参数响应表（见附件3，根据技术参数需求表制作，技术参数存在负偏离作无效标处理）；</w:t>
      </w:r>
    </w:p>
    <w:p>
      <w:pPr>
        <w:ind w:firstLine="480" w:firstLineChars="200"/>
        <w:jc w:val="left"/>
        <w:rPr>
          <w:rFonts w:ascii="仿宋" w:hAnsi="仿宋" w:eastAsia="仿宋"/>
          <w:sz w:val="24"/>
        </w:rPr>
      </w:pPr>
      <w:r>
        <w:rPr>
          <w:rFonts w:hint="eastAsia" w:ascii="仿宋" w:hAnsi="仿宋" w:eastAsia="仿宋"/>
          <w:sz w:val="24"/>
        </w:rPr>
        <w:t>8.自采购公告发布之日起至开标截止时间止的“信用中国”网站（www.creditchina.gov.cn）、中国政府采购网（</w:t>
      </w:r>
      <w:r>
        <w:rPr>
          <w:rFonts w:ascii="仿宋" w:hAnsi="仿宋" w:eastAsia="仿宋"/>
          <w:sz w:val="24"/>
        </w:rPr>
        <w:t>www.ccgp.gov.cn</w:t>
      </w:r>
      <w:r>
        <w:rPr>
          <w:rFonts w:hint="eastAsia" w:ascii="仿宋" w:hAnsi="仿宋" w:eastAsia="仿宋"/>
          <w:sz w:val="24"/>
        </w:rPr>
        <w:t>）、</w:t>
      </w:r>
      <w:r>
        <w:rPr>
          <w:rFonts w:hint="eastAsia" w:ascii="仿宋" w:hAnsi="仿宋" w:eastAsia="仿宋" w:cs="仿宋_GB2312"/>
          <w:sz w:val="24"/>
        </w:rPr>
        <w:t>“浙江政府采购网”（</w:t>
      </w:r>
      <w:r>
        <w:rPr>
          <w:rFonts w:ascii="仿宋" w:hAnsi="仿宋" w:eastAsia="仿宋" w:cs="仿宋_GB2312"/>
          <w:sz w:val="24"/>
        </w:rPr>
        <w:t>zfcg.czt.zj.gov.cn</w:t>
      </w:r>
      <w:r>
        <w:rPr>
          <w:rFonts w:hint="eastAsia" w:ascii="仿宋" w:hAnsi="仿宋" w:eastAsia="仿宋" w:cs="仿宋_GB2312"/>
          <w:sz w:val="24"/>
        </w:rPr>
        <w:t>）</w:t>
      </w:r>
      <w:r>
        <w:rPr>
          <w:rFonts w:hint="eastAsia" w:ascii="仿宋" w:hAnsi="仿宋" w:eastAsia="仿宋"/>
          <w:sz w:val="24"/>
        </w:rPr>
        <w:t>投标人信用查询网页截图（至少提供2个）（以开标当日采购人核实的查询结果为准）；</w:t>
      </w:r>
    </w:p>
    <w:p>
      <w:pPr>
        <w:ind w:firstLine="480" w:firstLineChars="200"/>
        <w:jc w:val="left"/>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cs="仿宋_GB2312"/>
          <w:sz w:val="24"/>
        </w:rPr>
        <w:t>其他相关材料（采购需求中要求提供的材料，投标人认为需要提供的材料等）。</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三、投标文件递交及开标时间：</w:t>
      </w:r>
    </w:p>
    <w:p>
      <w:pPr>
        <w:spacing w:line="340" w:lineRule="exact"/>
        <w:ind w:firstLine="480" w:firstLineChars="200"/>
        <w:jc w:val="left"/>
        <w:rPr>
          <w:rFonts w:ascii="仿宋" w:hAnsi="仿宋" w:eastAsia="仿宋"/>
          <w:b/>
          <w:sz w:val="24"/>
          <w:u w:val="single"/>
        </w:rPr>
      </w:pPr>
      <w:r>
        <w:rPr>
          <w:rFonts w:ascii="仿宋" w:hAnsi="仿宋" w:eastAsia="仿宋"/>
          <w:sz w:val="24"/>
        </w:rPr>
        <w:t>1.</w:t>
      </w:r>
      <w:r>
        <w:rPr>
          <w:rFonts w:hint="eastAsia" w:ascii="仿宋" w:hAnsi="仿宋" w:eastAsia="仿宋"/>
          <w:sz w:val="24"/>
        </w:rPr>
        <w:t>开标时间：</w:t>
      </w:r>
      <w:r>
        <w:rPr>
          <w:rFonts w:hint="eastAsia" w:ascii="仿宋" w:hAnsi="仿宋" w:eastAsia="仿宋" w:cs="宋体"/>
          <w:bCs/>
          <w:kern w:val="0"/>
          <w:sz w:val="24"/>
        </w:rPr>
        <w:t>2024年6月</w:t>
      </w:r>
      <w:r>
        <w:rPr>
          <w:rFonts w:hint="eastAsia" w:ascii="仿宋" w:hAnsi="仿宋" w:eastAsia="仿宋" w:cs="宋体"/>
          <w:bCs/>
          <w:kern w:val="0"/>
          <w:sz w:val="24"/>
          <w:lang w:val="en-US" w:eastAsia="zh-CN"/>
        </w:rPr>
        <w:t>19</w:t>
      </w:r>
      <w:r>
        <w:rPr>
          <w:rFonts w:hint="eastAsia" w:ascii="仿宋" w:hAnsi="仿宋" w:eastAsia="仿宋" w:cs="宋体"/>
          <w:bCs/>
          <w:kern w:val="0"/>
          <w:sz w:val="24"/>
        </w:rPr>
        <w:t>日14:30；</w:t>
      </w:r>
    </w:p>
    <w:p>
      <w:pPr>
        <w:spacing w:line="340" w:lineRule="exact"/>
        <w:ind w:left="147" w:leftChars="70" w:firstLine="360" w:firstLineChars="150"/>
        <w:jc w:val="left"/>
        <w:rPr>
          <w:rFonts w:ascii="仿宋" w:hAnsi="仿宋" w:eastAsia="仿宋"/>
          <w:sz w:val="24"/>
        </w:rPr>
      </w:pPr>
      <w:r>
        <w:rPr>
          <w:rFonts w:ascii="仿宋" w:hAnsi="仿宋" w:eastAsia="仿宋"/>
          <w:sz w:val="24"/>
        </w:rPr>
        <w:t>2.</w:t>
      </w:r>
      <w:r>
        <w:rPr>
          <w:rFonts w:hint="eastAsia" w:ascii="仿宋" w:hAnsi="仿宋" w:eastAsia="仿宋"/>
          <w:sz w:val="24"/>
        </w:rPr>
        <w:t>开标地点：湖州市二环东路</w:t>
      </w:r>
      <w:r>
        <w:rPr>
          <w:rFonts w:ascii="仿宋" w:hAnsi="仿宋" w:eastAsia="仿宋"/>
          <w:sz w:val="24"/>
        </w:rPr>
        <w:t>759</w:t>
      </w:r>
      <w:r>
        <w:rPr>
          <w:rFonts w:hint="eastAsia" w:ascii="仿宋" w:hAnsi="仿宋" w:eastAsia="仿宋"/>
          <w:sz w:val="24"/>
        </w:rPr>
        <w:t>号湖州师范学院东校区明达楼</w:t>
      </w:r>
      <w:r>
        <w:rPr>
          <w:rFonts w:ascii="仿宋" w:hAnsi="仿宋" w:eastAsia="仿宋"/>
          <w:sz w:val="24"/>
        </w:rPr>
        <w:t>20</w:t>
      </w:r>
      <w:r>
        <w:rPr>
          <w:rFonts w:hint="eastAsia" w:ascii="仿宋" w:hAnsi="仿宋" w:eastAsia="仿宋"/>
          <w:sz w:val="24"/>
        </w:rPr>
        <w:t>4室；</w:t>
      </w:r>
    </w:p>
    <w:p>
      <w:pPr>
        <w:spacing w:line="340" w:lineRule="exact"/>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联系人：张老师；</w:t>
      </w:r>
    </w:p>
    <w:p>
      <w:pPr>
        <w:spacing w:line="340" w:lineRule="exact"/>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电话：</w:t>
      </w:r>
      <w:r>
        <w:rPr>
          <w:rFonts w:ascii="仿宋" w:hAnsi="仿宋" w:eastAsia="仿宋"/>
          <w:sz w:val="24"/>
        </w:rPr>
        <w:t>0572-232</w:t>
      </w:r>
      <w:r>
        <w:rPr>
          <w:rFonts w:hint="eastAsia" w:ascii="仿宋" w:hAnsi="仿宋" w:eastAsia="仿宋"/>
          <w:sz w:val="24"/>
        </w:rPr>
        <w:t>2188。</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四、中标办法</w:t>
      </w:r>
    </w:p>
    <w:p>
      <w:pPr>
        <w:ind w:firstLine="480" w:firstLineChars="200"/>
        <w:jc w:val="left"/>
        <w:rPr>
          <w:rFonts w:ascii="仿宋" w:hAnsi="仿宋" w:eastAsia="仿宋"/>
          <w:sz w:val="24"/>
        </w:rPr>
      </w:pPr>
      <w:r>
        <w:rPr>
          <w:rFonts w:hint="eastAsia" w:ascii="仿宋" w:hAnsi="仿宋" w:eastAsia="仿宋"/>
          <w:sz w:val="24"/>
        </w:rPr>
        <w:t>本项目根据投标报价、货物需求响应、服务承诺等确定拟中标单位。在货物需求响应、服务承诺等条件符合的条件下，报价最低的单位作为第一成交候选人，次低报价的单位作为第二成交候选人，以此类推。</w:t>
      </w:r>
    </w:p>
    <w:p>
      <w:pPr>
        <w:ind w:firstLine="480" w:firstLineChars="200"/>
        <w:jc w:val="left"/>
        <w:rPr>
          <w:rFonts w:ascii="仿宋" w:hAnsi="仿宋" w:eastAsia="仿宋"/>
          <w:sz w:val="24"/>
        </w:rPr>
      </w:pPr>
      <w:r>
        <w:rPr>
          <w:rFonts w:hint="eastAsia" w:ascii="仿宋" w:hAnsi="仿宋" w:eastAsia="仿宋"/>
          <w:sz w:val="24"/>
        </w:rPr>
        <w:t>替补候选人的设定与使用：第一成交候选人放弃成交或者因不可抗力提出不能履行合同，在投标人仍满足三家的情况下，采购人可以确定第二成交候选人为成交人，排名第二的成交候选人因前款同样的原因不能签订合同，采购人可以确定排名第三的成交候选人为成交人。如第一成交候选人放弃中标或者因不可抗力提出不能履行合同，采购人也可以重新询价。</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五、付款方式</w:t>
      </w:r>
    </w:p>
    <w:p>
      <w:pPr>
        <w:adjustRightInd w:val="0"/>
        <w:snapToGrid w:val="0"/>
        <w:spacing w:line="260" w:lineRule="exact"/>
        <w:ind w:firstLine="470" w:firstLineChars="196"/>
        <w:jc w:val="left"/>
        <w:rPr>
          <w:rFonts w:ascii="仿宋" w:hAnsi="仿宋" w:eastAsia="仿宋"/>
          <w:sz w:val="24"/>
        </w:rPr>
      </w:pPr>
      <w:r>
        <w:rPr>
          <w:rFonts w:hint="eastAsia" w:ascii="仿宋" w:hAnsi="仿宋" w:eastAsia="仿宋" w:cs="仿宋"/>
          <w:sz w:val="24"/>
        </w:rPr>
        <w:t>中标人完成本项目并经采购人验收合格后，</w:t>
      </w:r>
      <w:r>
        <w:rPr>
          <w:rFonts w:hint="eastAsia" w:ascii="仿宋" w:hAnsi="仿宋" w:eastAsia="仿宋"/>
          <w:sz w:val="24"/>
        </w:rPr>
        <w:t>中标人依法依规开具全额发票，采购人按合同金额原则上于14个工作日内（如遇特殊情况顺延）一次性全额支付款项。</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六、交货时间及地点</w:t>
      </w:r>
    </w:p>
    <w:p>
      <w:pPr>
        <w:spacing w:line="340" w:lineRule="exact"/>
        <w:ind w:firstLine="480" w:firstLineChars="200"/>
        <w:jc w:val="left"/>
        <w:rPr>
          <w:rFonts w:ascii="仿宋" w:hAnsi="仿宋" w:eastAsia="仿宋"/>
          <w:sz w:val="24"/>
        </w:rPr>
      </w:pPr>
      <w:r>
        <w:rPr>
          <w:rFonts w:hint="eastAsia" w:ascii="仿宋" w:hAnsi="仿宋" w:eastAsia="仿宋"/>
          <w:sz w:val="24"/>
        </w:rPr>
        <w:t>1.交货时间：</w:t>
      </w:r>
      <w:r>
        <w:rPr>
          <w:rFonts w:hint="eastAsia" w:ascii="仿宋" w:hAnsi="仿宋" w:eastAsia="仿宋"/>
          <w:bCs/>
          <w:sz w:val="24"/>
        </w:rPr>
        <w:t>合同签订后30日内供货并完成安装调试</w:t>
      </w:r>
      <w:r>
        <w:rPr>
          <w:rFonts w:hint="eastAsia" w:ascii="仿宋" w:hAnsi="仿宋" w:eastAsia="仿宋"/>
          <w:sz w:val="24"/>
        </w:rPr>
        <w:t>。</w:t>
      </w:r>
    </w:p>
    <w:p>
      <w:pPr>
        <w:spacing w:line="340" w:lineRule="exact"/>
        <w:ind w:firstLine="480" w:firstLineChars="200"/>
        <w:jc w:val="left"/>
        <w:rPr>
          <w:rFonts w:ascii="仿宋" w:hAnsi="仿宋" w:eastAsia="仿宋"/>
          <w:sz w:val="24"/>
        </w:rPr>
      </w:pPr>
      <w:r>
        <w:rPr>
          <w:rFonts w:hint="eastAsia" w:ascii="仿宋" w:hAnsi="仿宋" w:eastAsia="仿宋"/>
          <w:sz w:val="24"/>
        </w:rPr>
        <w:t>2.交货地点：湖州师范学院指定地点。</w:t>
      </w:r>
    </w:p>
    <w:p>
      <w:pPr>
        <w:spacing w:line="340" w:lineRule="exact"/>
        <w:ind w:firstLine="472" w:firstLineChars="196"/>
        <w:jc w:val="left"/>
        <w:rPr>
          <w:rFonts w:ascii="仿宋" w:hAnsi="仿宋" w:eastAsia="仿宋"/>
          <w:sz w:val="24"/>
        </w:rPr>
      </w:pPr>
      <w:r>
        <w:rPr>
          <w:rFonts w:hint="eastAsia" w:ascii="仿宋" w:hAnsi="仿宋" w:eastAsia="仿宋"/>
          <w:b/>
          <w:bCs/>
          <w:sz w:val="24"/>
        </w:rPr>
        <w:t>七、售后服务</w:t>
      </w:r>
    </w:p>
    <w:p>
      <w:pPr>
        <w:ind w:firstLine="480" w:firstLineChars="200"/>
        <w:jc w:val="left"/>
        <w:rPr>
          <w:rFonts w:ascii="仿宋" w:hAnsi="仿宋" w:eastAsia="仿宋"/>
          <w:sz w:val="24"/>
        </w:rPr>
      </w:pPr>
      <w:r>
        <w:rPr>
          <w:rFonts w:hint="eastAsia" w:ascii="仿宋" w:hAnsi="仿宋" w:eastAsia="仿宋"/>
          <w:sz w:val="24"/>
        </w:rPr>
        <w:t>自验收合格之日起，质保期2年；质保期内出现故障，中标人应在接到故障报修请求后，于30分钟内响应，2小时内提出解决方案，24小时内到达现场进行维修，48不能完成修复的，必须采取提供备品、备件或备机等措施以保证采购人正常使用。质保期后，中标人继续提供维保服务，仅收取零配件成本费。中标人应对采购人的维修人员提供培训，使其能对设备进行日常的维护保养及能对一般故障进行维修。中标人应对采购人的操作人员提供操作培训，并使其能熟练操作。</w:t>
      </w:r>
    </w:p>
    <w:p>
      <w:pPr>
        <w:spacing w:line="340" w:lineRule="exact"/>
        <w:ind w:firstLine="472" w:firstLineChars="196"/>
        <w:jc w:val="left"/>
        <w:rPr>
          <w:rFonts w:ascii="仿宋" w:hAnsi="仿宋" w:eastAsia="仿宋"/>
          <w:b/>
          <w:bCs/>
          <w:sz w:val="24"/>
        </w:rPr>
      </w:pPr>
      <w:r>
        <w:rPr>
          <w:rFonts w:hint="eastAsia" w:ascii="仿宋" w:hAnsi="仿宋" w:eastAsia="仿宋"/>
          <w:b/>
          <w:bCs/>
          <w:sz w:val="24"/>
        </w:rPr>
        <w:t>八、产品质量保证</w:t>
      </w:r>
    </w:p>
    <w:p>
      <w:pPr>
        <w:spacing w:line="3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人提供的产品必须为原厂生产的合格产品，符合相关国家标准。如采购人验收或使用时发现中标人提供的为假冒伪劣产品，采购人将依据《中华人民共和国消费者权益保护法》和《浙江省实施〈中华人民共和国消费者权益保护法〉办法》有关规定对中标人进行索赔。</w:t>
      </w:r>
    </w:p>
    <w:p>
      <w:pPr>
        <w:spacing w:line="3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中标人供应的产品如不符合招标文件和合同要求，采购人有权无条件退货，责任全部由中标人承担。</w:t>
      </w:r>
    </w:p>
    <w:p>
      <w:pPr>
        <w:spacing w:line="340" w:lineRule="exact"/>
        <w:ind w:firstLine="482" w:firstLineChars="200"/>
        <w:jc w:val="left"/>
        <w:rPr>
          <w:rFonts w:ascii="仿宋" w:hAnsi="仿宋" w:eastAsia="仿宋"/>
          <w:b/>
          <w:sz w:val="24"/>
        </w:rPr>
      </w:pPr>
    </w:p>
    <w:p>
      <w:pPr>
        <w:spacing w:line="340" w:lineRule="exact"/>
        <w:ind w:firstLine="482" w:firstLineChars="200"/>
        <w:jc w:val="left"/>
        <w:rPr>
          <w:rFonts w:ascii="仿宋" w:hAnsi="仿宋" w:eastAsia="仿宋"/>
          <w:b/>
          <w:sz w:val="24"/>
        </w:rPr>
      </w:pPr>
      <w:r>
        <w:rPr>
          <w:rFonts w:hint="eastAsia" w:ascii="仿宋" w:hAnsi="仿宋" w:eastAsia="仿宋"/>
          <w:b/>
          <w:sz w:val="24"/>
        </w:rPr>
        <w:t>附件1：投标报价清单</w:t>
      </w:r>
    </w:p>
    <w:p>
      <w:pPr>
        <w:pStyle w:val="2"/>
        <w:ind w:firstLine="482" w:firstLineChars="200"/>
        <w:rPr>
          <w:rFonts w:eastAsia="仿宋"/>
        </w:rPr>
      </w:pPr>
      <w:r>
        <w:rPr>
          <w:rFonts w:hint="eastAsia" w:ascii="仿宋" w:hAnsi="仿宋" w:eastAsia="仿宋"/>
          <w:b/>
          <w:sz w:val="24"/>
        </w:rPr>
        <w:t>附件2：技术参数需求表</w:t>
      </w:r>
    </w:p>
    <w:p>
      <w:pPr>
        <w:pStyle w:val="5"/>
        <w:ind w:firstLine="482" w:firstLineChars="200"/>
        <w:rPr>
          <w:rFonts w:eastAsia="仿宋"/>
        </w:rPr>
      </w:pPr>
      <w:r>
        <w:rPr>
          <w:rFonts w:hint="eastAsia" w:ascii="仿宋" w:hAnsi="仿宋" w:eastAsia="仿宋"/>
          <w:b/>
          <w:sz w:val="24"/>
        </w:rPr>
        <w:t>附件3：技术参数响应表</w:t>
      </w:r>
    </w:p>
    <w:p>
      <w:pPr>
        <w:spacing w:before="100" w:line="340" w:lineRule="exact"/>
        <w:ind w:firstLine="4819" w:firstLineChars="2000"/>
        <w:jc w:val="right"/>
        <w:rPr>
          <w:rFonts w:ascii="仿宋" w:hAnsi="仿宋" w:eastAsia="仿宋"/>
          <w:b/>
          <w:sz w:val="24"/>
        </w:rPr>
      </w:pPr>
    </w:p>
    <w:p>
      <w:pPr>
        <w:spacing w:before="100" w:line="340" w:lineRule="exact"/>
        <w:ind w:firstLine="4819" w:firstLineChars="2000"/>
        <w:jc w:val="right"/>
        <w:rPr>
          <w:rFonts w:ascii="仿宋" w:hAnsi="仿宋" w:eastAsia="仿宋"/>
          <w:b/>
          <w:sz w:val="24"/>
        </w:rPr>
      </w:pPr>
      <w:r>
        <w:rPr>
          <w:rFonts w:hint="eastAsia" w:ascii="仿宋" w:hAnsi="仿宋" w:eastAsia="仿宋"/>
          <w:b/>
          <w:sz w:val="24"/>
        </w:rPr>
        <w:t>湖州师范学院采购中心</w:t>
      </w:r>
    </w:p>
    <w:p>
      <w:pPr>
        <w:spacing w:before="100" w:line="340" w:lineRule="exact"/>
        <w:ind w:firstLine="5440" w:firstLineChars="2258"/>
        <w:jc w:val="right"/>
        <w:rPr>
          <w:rFonts w:ascii="仿宋" w:hAnsi="仿宋" w:eastAsia="仿宋"/>
          <w:b/>
          <w:sz w:val="24"/>
        </w:rPr>
      </w:pPr>
      <w:r>
        <w:rPr>
          <w:rFonts w:hint="eastAsia" w:ascii="仿宋" w:hAnsi="仿宋" w:eastAsia="仿宋"/>
          <w:b/>
          <w:sz w:val="24"/>
        </w:rPr>
        <w:t>2024年6月</w:t>
      </w:r>
      <w:r>
        <w:rPr>
          <w:rFonts w:hint="eastAsia" w:ascii="仿宋" w:hAnsi="仿宋" w:eastAsia="仿宋"/>
          <w:b/>
          <w:sz w:val="24"/>
          <w:lang w:val="en-US" w:eastAsia="zh-CN"/>
        </w:rPr>
        <w:t>11</w:t>
      </w:r>
      <w:r>
        <w:rPr>
          <w:rFonts w:hint="eastAsia" w:ascii="仿宋" w:hAnsi="仿宋" w:eastAsia="仿宋"/>
          <w:b/>
          <w:sz w:val="24"/>
        </w:rPr>
        <w:t>日</w:t>
      </w: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r>
        <w:rPr>
          <w:rFonts w:hint="eastAsia" w:ascii="仿宋" w:hAnsi="仿宋" w:eastAsia="仿宋"/>
          <w:b/>
          <w:sz w:val="24"/>
        </w:rPr>
        <w:t>附件1</w:t>
      </w:r>
    </w:p>
    <w:p>
      <w:pPr>
        <w:spacing w:before="100" w:line="340" w:lineRule="exact"/>
        <w:ind w:firstLine="723" w:firstLineChars="200"/>
        <w:jc w:val="center"/>
        <w:rPr>
          <w:rFonts w:ascii="仿宋" w:hAnsi="仿宋" w:eastAsia="仿宋"/>
          <w:b/>
          <w:sz w:val="36"/>
          <w:szCs w:val="36"/>
        </w:rPr>
      </w:pPr>
      <w:r>
        <w:rPr>
          <w:rFonts w:hint="eastAsia" w:ascii="仿宋" w:hAnsi="仿宋" w:eastAsia="仿宋"/>
          <w:b/>
          <w:sz w:val="36"/>
          <w:szCs w:val="36"/>
        </w:rPr>
        <w:t>投标报价清单</w:t>
      </w:r>
    </w:p>
    <w:p>
      <w:pPr>
        <w:spacing w:before="100" w:line="340" w:lineRule="exact"/>
        <w:ind w:firstLine="723" w:firstLineChars="200"/>
        <w:jc w:val="center"/>
        <w:rPr>
          <w:rFonts w:ascii="仿宋" w:hAnsi="仿宋" w:eastAsia="仿宋"/>
          <w:b/>
          <w:sz w:val="36"/>
          <w:szCs w:val="36"/>
        </w:rPr>
      </w:pPr>
    </w:p>
    <w:p>
      <w:pPr>
        <w:rPr>
          <w:rFonts w:ascii="仿宋" w:hAnsi="仿宋" w:eastAsia="仿宋" w:cs="宋体"/>
          <w:kern w:val="0"/>
          <w:sz w:val="24"/>
        </w:rPr>
      </w:pPr>
      <w:r>
        <w:rPr>
          <w:rFonts w:hint="eastAsia" w:ascii="仿宋" w:hAnsi="仿宋" w:eastAsia="仿宋"/>
          <w:b/>
          <w:sz w:val="24"/>
        </w:rPr>
        <w:t>项目名称：</w:t>
      </w:r>
      <w:r>
        <w:rPr>
          <w:rFonts w:hint="eastAsia" w:ascii="仿宋" w:hAnsi="仿宋" w:eastAsia="仿宋" w:cs="宋体"/>
          <w:kern w:val="0"/>
          <w:sz w:val="24"/>
        </w:rPr>
        <w:t>湖州师范学院教师教育学院师范生智慧教学实验室二期设备采购项目</w:t>
      </w:r>
    </w:p>
    <w:p>
      <w:pPr>
        <w:spacing w:line="340" w:lineRule="exact"/>
        <w:jc w:val="left"/>
        <w:rPr>
          <w:rFonts w:ascii="仿宋" w:hAnsi="仿宋" w:eastAsia="仿宋"/>
          <w:sz w:val="24"/>
        </w:rPr>
      </w:pPr>
      <w:r>
        <w:rPr>
          <w:rFonts w:hint="eastAsia" w:ascii="仿宋" w:hAnsi="仿宋" w:eastAsia="仿宋"/>
          <w:b/>
          <w:sz w:val="24"/>
        </w:rPr>
        <w:t>项目编号：</w:t>
      </w:r>
      <w:r>
        <w:rPr>
          <w:rFonts w:hint="eastAsia" w:ascii="仿宋" w:hAnsi="仿宋" w:eastAsia="仿宋"/>
          <w:sz w:val="24"/>
        </w:rPr>
        <w:t>XZ2024-040</w:t>
      </w:r>
    </w:p>
    <w:tbl>
      <w:tblPr>
        <w:tblStyle w:val="11"/>
        <w:tblW w:w="10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2260"/>
        <w:gridCol w:w="2159"/>
        <w:gridCol w:w="622"/>
        <w:gridCol w:w="642"/>
        <w:gridCol w:w="1886"/>
        <w:gridCol w:w="1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595"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序号</w:t>
            </w:r>
          </w:p>
        </w:tc>
        <w:tc>
          <w:tcPr>
            <w:tcW w:w="2260"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名称</w:t>
            </w:r>
          </w:p>
        </w:tc>
        <w:tc>
          <w:tcPr>
            <w:tcW w:w="2159"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投标品牌型号</w:t>
            </w:r>
          </w:p>
        </w:tc>
        <w:tc>
          <w:tcPr>
            <w:tcW w:w="622"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单位</w:t>
            </w:r>
          </w:p>
        </w:tc>
        <w:tc>
          <w:tcPr>
            <w:tcW w:w="642"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数量</w:t>
            </w:r>
          </w:p>
        </w:tc>
        <w:tc>
          <w:tcPr>
            <w:tcW w:w="1886"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投标单价（元）</w:t>
            </w:r>
          </w:p>
        </w:tc>
        <w:tc>
          <w:tcPr>
            <w:tcW w:w="1886"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投标总价（元）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推拉绿板（定制）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高清录播主机</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3</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终端管理软件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4</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老师高清摄像机</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学生高清摄像机</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6</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全向拾音麦克风</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7</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独显终端(附影音集</w:t>
            </w:r>
            <w:r>
              <w:rPr>
                <w:rFonts w:hint="eastAsia" w:ascii="仿宋" w:hAnsi="仿宋" w:eastAsia="仿宋" w:cs="宋体"/>
                <w:kern w:val="0"/>
                <w:sz w:val="24"/>
              </w:rPr>
              <w:br w:type="textWrapping"/>
            </w:r>
            <w:r>
              <w:rPr>
                <w:rFonts w:hint="eastAsia" w:ascii="仿宋" w:hAnsi="仿宋" w:eastAsia="仿宋" w:cs="宋体"/>
                <w:kern w:val="0"/>
                <w:sz w:val="24"/>
              </w:rPr>
              <w:t>成终端系统软件)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8</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近景摄像机(附摄像机系统软件)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9</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控制面板</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10</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钢木讲台</w:t>
            </w:r>
            <w:r>
              <w:rPr>
                <w:rFonts w:hint="eastAsia" w:ascii="仿宋" w:hAnsi="仿宋" w:eastAsia="仿宋" w:cs="仿宋"/>
                <w:kern w:val="0"/>
                <w:sz w:val="24"/>
              </w:rPr>
              <w:t>（定制）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5</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11</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吸顶空调</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12</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立式空调</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13</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85寸电视机</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2</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14</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灯具</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件</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34</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15</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会议桌</w:t>
            </w:r>
            <w:r>
              <w:rPr>
                <w:rFonts w:hint="eastAsia" w:ascii="仿宋" w:hAnsi="仿宋" w:eastAsia="仿宋" w:cs="仿宋"/>
                <w:kern w:val="0"/>
                <w:sz w:val="24"/>
              </w:rPr>
              <w:t>（定制）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16</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智能控制器</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17</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白板</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18</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储物柜</w:t>
            </w:r>
            <w:r>
              <w:rPr>
                <w:rFonts w:hint="eastAsia" w:ascii="仿宋" w:hAnsi="仿宋" w:eastAsia="仿宋" w:cs="仿宋"/>
                <w:kern w:val="0"/>
                <w:sz w:val="24"/>
              </w:rPr>
              <w:t>（定制）</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8</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19</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 xml:space="preserve"> 视频会议摄像头一体机</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20</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无线投屏器</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个</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10</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21</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门禁</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22</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电动螺丝刀</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6</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23</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吸尘器</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套</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2</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jc w:val="center"/>
        </w:trPr>
        <w:tc>
          <w:tcPr>
            <w:tcW w:w="595" w:type="dxa"/>
            <w:noWrap/>
            <w:vAlign w:val="center"/>
          </w:tcPr>
          <w:p>
            <w:pPr>
              <w:jc w:val="center"/>
              <w:rPr>
                <w:rFonts w:ascii="仿宋" w:hAnsi="仿宋" w:eastAsia="仿宋" w:cs="宋体"/>
                <w:kern w:val="0"/>
                <w:sz w:val="24"/>
              </w:rPr>
            </w:pPr>
            <w:r>
              <w:rPr>
                <w:rFonts w:hint="eastAsia" w:ascii="仿宋" w:hAnsi="仿宋" w:eastAsia="仿宋" w:cs="宋体"/>
                <w:kern w:val="0"/>
                <w:sz w:val="24"/>
              </w:rPr>
              <w:t>24</w:t>
            </w:r>
          </w:p>
        </w:tc>
        <w:tc>
          <w:tcPr>
            <w:tcW w:w="2260" w:type="dxa"/>
            <w:noWrap/>
            <w:vAlign w:val="center"/>
          </w:tcPr>
          <w:p>
            <w:pPr>
              <w:jc w:val="center"/>
              <w:rPr>
                <w:rFonts w:ascii="仿宋" w:hAnsi="仿宋" w:eastAsia="仿宋" w:cs="宋体"/>
                <w:kern w:val="0"/>
                <w:sz w:val="24"/>
              </w:rPr>
            </w:pPr>
            <w:r>
              <w:rPr>
                <w:rFonts w:hint="eastAsia" w:ascii="仿宋" w:hAnsi="仿宋" w:eastAsia="仿宋" w:cs="宋体"/>
                <w:kern w:val="0"/>
                <w:sz w:val="24"/>
              </w:rPr>
              <w:t>室内wifi</w:t>
            </w:r>
          </w:p>
        </w:tc>
        <w:tc>
          <w:tcPr>
            <w:tcW w:w="2159" w:type="dxa"/>
            <w:noWrap/>
            <w:vAlign w:val="center"/>
          </w:tcPr>
          <w:p>
            <w:pPr>
              <w:jc w:val="center"/>
              <w:rPr>
                <w:rFonts w:ascii="仿宋" w:hAnsi="仿宋" w:eastAsia="仿宋" w:cs="宋体"/>
                <w:kern w:val="0"/>
                <w:sz w:val="24"/>
              </w:rPr>
            </w:pPr>
          </w:p>
        </w:tc>
        <w:tc>
          <w:tcPr>
            <w:tcW w:w="622" w:type="dxa"/>
            <w:noWrap/>
            <w:vAlign w:val="center"/>
          </w:tcPr>
          <w:p>
            <w:pPr>
              <w:jc w:val="center"/>
              <w:rPr>
                <w:rFonts w:ascii="仿宋" w:hAnsi="仿宋" w:eastAsia="仿宋" w:cs="宋体"/>
                <w:kern w:val="0"/>
                <w:sz w:val="24"/>
              </w:rPr>
            </w:pPr>
            <w:r>
              <w:rPr>
                <w:rFonts w:hint="eastAsia" w:ascii="仿宋" w:hAnsi="仿宋" w:eastAsia="仿宋" w:cs="宋体"/>
                <w:kern w:val="0"/>
                <w:sz w:val="24"/>
              </w:rPr>
              <w:t>台</w:t>
            </w:r>
          </w:p>
        </w:tc>
        <w:tc>
          <w:tcPr>
            <w:tcW w:w="642" w:type="dxa"/>
            <w:noWrap/>
            <w:vAlign w:val="center"/>
          </w:tcPr>
          <w:p>
            <w:pPr>
              <w:jc w:val="center"/>
              <w:rPr>
                <w:rFonts w:ascii="仿宋" w:hAnsi="仿宋" w:eastAsia="仿宋" w:cs="宋体"/>
                <w:kern w:val="0"/>
                <w:sz w:val="24"/>
              </w:rPr>
            </w:pPr>
            <w:r>
              <w:rPr>
                <w:rFonts w:hint="eastAsia" w:ascii="仿宋" w:hAnsi="仿宋" w:eastAsia="仿宋" w:cs="宋体"/>
                <w:kern w:val="0"/>
                <w:sz w:val="24"/>
              </w:rPr>
              <w:t>1</w:t>
            </w:r>
          </w:p>
        </w:tc>
        <w:tc>
          <w:tcPr>
            <w:tcW w:w="1886" w:type="dxa"/>
            <w:noWrap/>
            <w:vAlign w:val="center"/>
          </w:tcPr>
          <w:p>
            <w:pPr>
              <w:jc w:val="center"/>
              <w:rPr>
                <w:rFonts w:ascii="仿宋" w:hAnsi="仿宋" w:eastAsia="仿宋" w:cs="宋体"/>
                <w:kern w:val="0"/>
                <w:sz w:val="24"/>
              </w:rPr>
            </w:pPr>
          </w:p>
        </w:tc>
        <w:tc>
          <w:tcPr>
            <w:tcW w:w="1886" w:type="dxa"/>
            <w:noWrap/>
            <w:vAlign w:val="center"/>
          </w:tcPr>
          <w:p>
            <w:pPr>
              <w:jc w:val="cente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jc w:val="center"/>
        </w:trPr>
        <w:tc>
          <w:tcPr>
            <w:tcW w:w="2855" w:type="dxa"/>
            <w:gridSpan w:val="2"/>
            <w:noWrap/>
            <w:vAlign w:val="center"/>
          </w:tcPr>
          <w:p>
            <w:pPr>
              <w:pStyle w:val="10"/>
              <w:widowControl/>
              <w:spacing w:before="225" w:beforeAutospacing="0" w:after="225" w:afterAutospacing="0" w:line="0" w:lineRule="atLeast"/>
              <w:jc w:val="center"/>
              <w:rPr>
                <w:rFonts w:ascii="仿宋" w:hAnsi="仿宋" w:eastAsia="仿宋" w:cs="仿宋"/>
                <w:b/>
                <w:bCs/>
              </w:rPr>
            </w:pPr>
            <w:r>
              <w:rPr>
                <w:rStyle w:val="14"/>
                <w:rFonts w:hint="eastAsia" w:ascii="仿宋" w:hAnsi="仿宋" w:eastAsia="仿宋" w:cs="仿宋"/>
                <w:bCs/>
                <w:shd w:val="clear" w:color="auto" w:fill="FFFFFF"/>
              </w:rPr>
              <w:t>合计</w:t>
            </w:r>
          </w:p>
        </w:tc>
        <w:tc>
          <w:tcPr>
            <w:tcW w:w="7195" w:type="dxa"/>
            <w:gridSpan w:val="5"/>
            <w:noWrap/>
            <w:vAlign w:val="center"/>
          </w:tcPr>
          <w:p>
            <w:pPr>
              <w:pStyle w:val="10"/>
              <w:widowControl/>
              <w:tabs>
                <w:tab w:val="left" w:pos="1839"/>
              </w:tabs>
              <w:spacing w:before="225" w:beforeAutospacing="0" w:after="225" w:afterAutospacing="0" w:line="0" w:lineRule="atLeast"/>
              <w:jc w:val="center"/>
              <w:rPr>
                <w:rFonts w:ascii="仿宋" w:hAnsi="仿宋" w:eastAsia="仿宋" w:cs="仿宋"/>
                <w:b/>
                <w:bCs/>
              </w:rPr>
            </w:pPr>
            <w:r>
              <w:rPr>
                <w:rFonts w:hint="eastAsia" w:ascii="仿宋" w:hAnsi="仿宋" w:eastAsia="仿宋" w:cs="仿宋"/>
                <w:b/>
                <w:bCs/>
              </w:rPr>
              <w:t>人民币：元整（￥元）</w:t>
            </w:r>
          </w:p>
        </w:tc>
      </w:tr>
    </w:tbl>
    <w:p>
      <w:pPr>
        <w:spacing w:line="340" w:lineRule="exact"/>
        <w:jc w:val="left"/>
        <w:rPr>
          <w:rFonts w:ascii="仿宋" w:hAnsi="仿宋" w:eastAsia="仿宋"/>
          <w:b/>
          <w:sz w:val="24"/>
        </w:rPr>
      </w:pPr>
    </w:p>
    <w:p>
      <w:pPr>
        <w:rPr>
          <w:rFonts w:ascii="仿宋" w:hAnsi="仿宋" w:eastAsia="仿宋" w:cs="仿宋_GB2312"/>
          <w:b/>
          <w:szCs w:val="21"/>
        </w:rPr>
      </w:pPr>
      <w:r>
        <w:rPr>
          <w:rFonts w:hint="eastAsia" w:ascii="仿宋" w:hAnsi="仿宋" w:eastAsia="仿宋" w:cs="仿宋_GB2312"/>
          <w:b/>
          <w:szCs w:val="21"/>
        </w:rPr>
        <w:t>注：以上投标报价包含货物费、运输费、安装调试费、服务费、税费等全部费用在内。</w:t>
      </w:r>
    </w:p>
    <w:p>
      <w:pPr>
        <w:widowControl/>
        <w:jc w:val="left"/>
        <w:rPr>
          <w:rFonts w:ascii="仿宋" w:hAnsi="仿宋" w:eastAsia="仿宋"/>
          <w:sz w:val="24"/>
        </w:rPr>
      </w:pPr>
    </w:p>
    <w:p>
      <w:pPr>
        <w:widowControl/>
        <w:ind w:firstLine="5040" w:firstLineChars="2100"/>
        <w:jc w:val="left"/>
        <w:rPr>
          <w:rFonts w:ascii="仿宋" w:hAnsi="仿宋" w:eastAsia="仿宋"/>
          <w:sz w:val="24"/>
        </w:rPr>
      </w:pPr>
      <w:r>
        <w:rPr>
          <w:rFonts w:hint="eastAsia" w:ascii="仿宋" w:hAnsi="仿宋" w:eastAsia="仿宋"/>
          <w:sz w:val="24"/>
        </w:rPr>
        <w:t>授权代表签字：</w:t>
      </w:r>
    </w:p>
    <w:p>
      <w:pPr>
        <w:spacing w:line="360" w:lineRule="auto"/>
        <w:ind w:right="120" w:firstLine="5040" w:firstLineChars="2100"/>
        <w:jc w:val="left"/>
        <w:rPr>
          <w:rFonts w:ascii="仿宋" w:hAnsi="仿宋" w:eastAsia="仿宋"/>
          <w:sz w:val="24"/>
        </w:rPr>
      </w:pPr>
      <w:r>
        <w:rPr>
          <w:rFonts w:hint="eastAsia" w:ascii="仿宋" w:hAnsi="仿宋" w:eastAsia="仿宋"/>
          <w:sz w:val="24"/>
        </w:rPr>
        <w:t>投标人（盖章）：</w:t>
      </w:r>
    </w:p>
    <w:p>
      <w:pPr>
        <w:ind w:firstLine="5040" w:firstLineChars="2100"/>
      </w:pPr>
      <w:r>
        <w:rPr>
          <w:rFonts w:hint="eastAsia" w:ascii="仿宋" w:hAnsi="仿宋" w:eastAsia="仿宋"/>
          <w:sz w:val="24"/>
        </w:rPr>
        <w:t>2024</w:t>
      </w:r>
      <w:r>
        <w:rPr>
          <w:rFonts w:hint="eastAsia"/>
        </w:rPr>
        <w:t>年    月   日</w:t>
      </w:r>
    </w:p>
    <w:p>
      <w:pPr>
        <w:pStyle w:val="2"/>
        <w:ind w:firstLine="0"/>
        <w:rPr>
          <w:rFonts w:ascii="仿宋" w:hAnsi="仿宋" w:eastAsia="仿宋"/>
          <w:b/>
          <w:sz w:val="24"/>
        </w:rPr>
      </w:pPr>
    </w:p>
    <w:p/>
    <w:p>
      <w:pPr>
        <w:pStyle w:val="2"/>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p>
    <w:p>
      <w:pPr>
        <w:widowControl/>
        <w:jc w:val="left"/>
        <w:rPr>
          <w:rFonts w:ascii="仿宋" w:hAnsi="仿宋" w:eastAsia="仿宋"/>
          <w:b/>
          <w:sz w:val="24"/>
        </w:rPr>
      </w:pPr>
      <w:r>
        <w:rPr>
          <w:rFonts w:hint="eastAsia" w:ascii="仿宋" w:hAnsi="仿宋" w:eastAsia="仿宋"/>
          <w:b/>
          <w:sz w:val="24"/>
        </w:rPr>
        <w:t>附件2</w:t>
      </w:r>
    </w:p>
    <w:p>
      <w:pPr>
        <w:spacing w:before="100" w:line="340" w:lineRule="exact"/>
        <w:ind w:firstLine="723" w:firstLineChars="200"/>
        <w:jc w:val="center"/>
        <w:rPr>
          <w:rFonts w:ascii="仿宋" w:hAnsi="仿宋" w:eastAsia="仿宋"/>
          <w:b/>
          <w:sz w:val="36"/>
          <w:szCs w:val="36"/>
        </w:rPr>
      </w:pPr>
    </w:p>
    <w:p>
      <w:pPr>
        <w:spacing w:before="100" w:line="340" w:lineRule="exact"/>
        <w:ind w:firstLine="723" w:firstLineChars="200"/>
        <w:jc w:val="center"/>
        <w:rPr>
          <w:rFonts w:ascii="仿宋" w:hAnsi="仿宋" w:eastAsia="仿宋"/>
          <w:b/>
          <w:sz w:val="36"/>
          <w:szCs w:val="36"/>
        </w:rPr>
      </w:pPr>
      <w:r>
        <w:rPr>
          <w:rFonts w:hint="eastAsia" w:ascii="仿宋" w:hAnsi="仿宋" w:eastAsia="仿宋"/>
          <w:b/>
          <w:sz w:val="36"/>
          <w:szCs w:val="36"/>
        </w:rPr>
        <w:t>技术参数需求表</w:t>
      </w:r>
    </w:p>
    <w:p>
      <w:pPr>
        <w:rPr>
          <w:rFonts w:ascii="仿宋" w:hAnsi="仿宋" w:eastAsia="仿宋"/>
          <w:b/>
          <w:sz w:val="24"/>
        </w:rPr>
      </w:pPr>
    </w:p>
    <w:tbl>
      <w:tblPr>
        <w:tblStyle w:val="11"/>
        <w:tblW w:w="10581" w:type="dxa"/>
        <w:jc w:val="center"/>
        <w:tblLayout w:type="fixed"/>
        <w:tblCellMar>
          <w:top w:w="0" w:type="dxa"/>
          <w:left w:w="108" w:type="dxa"/>
          <w:bottom w:w="0" w:type="dxa"/>
          <w:right w:w="108" w:type="dxa"/>
        </w:tblCellMar>
      </w:tblPr>
      <w:tblGrid>
        <w:gridCol w:w="541"/>
        <w:gridCol w:w="1440"/>
        <w:gridCol w:w="6390"/>
        <w:gridCol w:w="2210"/>
      </w:tblGrid>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名称</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技术参数要求</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参考图片</w:t>
            </w: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推拉绿板（定制）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定制，单块，4米*1.2米</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ascii="仿宋" w:hAnsi="仿宋" w:eastAsia="仿宋" w:cs="仿宋"/>
                <w:kern w:val="0"/>
                <w:sz w:val="24"/>
              </w:rPr>
              <w:drawing>
                <wp:inline distT="0" distB="0" distL="0" distR="0">
                  <wp:extent cx="1332230" cy="579755"/>
                  <wp:effectExtent l="0" t="0" r="1270" b="0"/>
                  <wp:docPr id="2" name="图片 2" descr="C:\Users\Administrator\Documents\WeChat Files\w773098\FileStorage\Temp\1717639649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773098\FileStorage\Temp\171763964949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2442" cy="580257"/>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高清录播主机</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b/>
                <w:bCs/>
                <w:kern w:val="0"/>
                <w:sz w:val="24"/>
                <w:lang w:bidi="ar"/>
              </w:rPr>
              <w:t>一.整体设计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主机架构：为保障系统运行稳定、安全，要求录播主机采用嵌入式架构设计，非PC、服务器架构。主机为标准1U机架式设备，便于安装部署，并要求录播主机为非壁挂式架构，不存在机身显示屏等产生其他视频、强光源变化从而影响学生课堂专注力。</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2.功能设计：要求主机功能高度集成化，需具备录制、导播、自动跟踪、存储、点播、互动等多功能功于一体，无需额外增加跟踪主机、互动主机等其他主机。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3.节能环保：应具有嵌入式低功耗环保特性，需采用不高于DC36V安全电压供电，整机正常工作状态下功耗不超过30W。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4.低噪声设计：要求所投录播主机工作产生噪声最大值≤40dB。</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5.平台对接：要求支持无缝对接视频资源管理应用平台，实现主机录制生成的视频文件自动上传平台归档。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6.主机功耗≤30w、工作噪声≤40dB</w:t>
            </w:r>
            <w:r>
              <w:rPr>
                <w:rFonts w:hint="eastAsia" w:ascii="仿宋" w:hAnsi="仿宋" w:eastAsia="仿宋" w:cs="仿宋"/>
                <w:b/>
                <w:bCs/>
                <w:kern w:val="0"/>
                <w:sz w:val="24"/>
                <w:lang w:bidi="ar"/>
              </w:rPr>
              <w:t>（提供带有“CMA”和“CNAS”标识的检测报告复印件）</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二.主机性能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1.视频输入输出：具备高清视频输入接口3G-SDI in≥2、HDMI in≥2；高清输出接口HDMI out≥3；且采集和输出分辨率均支持1080P@30fps。SDI接口支持对接入摄像机提供POC供电，减少工程部署量。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2.视频编解码：支持标准H.264视频编解码协议，要求支持1080P@30fps、720P@30fps分辨率格式编解码。</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3.音频输入输出：具备数字音频输入接口Digital mic≥4、线性音频输入接口Line in≥2；线性音频输出接口Line out≥2。</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4.音频一线通：Digital MIC（RJ45接口）支持音频“一线通”功能，可在采集数字音频信号的同时对数字麦克风进行供电，实现音频信号的高品质、抗干扰稳定传输。</w:t>
            </w:r>
            <w:r>
              <w:rPr>
                <w:rFonts w:hint="eastAsia" w:ascii="仿宋" w:hAnsi="仿宋" w:eastAsia="仿宋" w:cs="仿宋"/>
                <w:b/>
                <w:bCs/>
                <w:kern w:val="0"/>
                <w:sz w:val="24"/>
                <w:lang w:bidi="ar"/>
              </w:rPr>
              <w:t>（提供带有“CMA”和“CNAS”标识的检测报告复印件）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5.音频编解码：采用AAC音频编解码协议标准，并支持音频处理功能。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6.音频处理：内置音频处理功能，支持EQ均衡、AEC回声抑制、AGC自动增益、ANC噪声抑制等音频处理功能。</w:t>
            </w:r>
            <w:r>
              <w:rPr>
                <w:rFonts w:hint="eastAsia" w:ascii="仿宋" w:hAnsi="仿宋" w:eastAsia="仿宋" w:cs="仿宋"/>
                <w:b/>
                <w:bCs/>
                <w:kern w:val="0"/>
                <w:sz w:val="24"/>
                <w:lang w:bidi="ar"/>
              </w:rPr>
              <w:t>（提供带有“CMA”和“CNAS”标识的检测报告复印件）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6.网络接入：具备标准RJ45网络接口，支持10/100/1000M网络自适应。并要求支持IPv4、IPv6双协议栈。</w:t>
            </w:r>
            <w:r>
              <w:rPr>
                <w:rFonts w:hint="eastAsia" w:ascii="仿宋" w:hAnsi="仿宋" w:eastAsia="仿宋" w:cs="仿宋"/>
                <w:b/>
                <w:bCs/>
                <w:kern w:val="0"/>
                <w:sz w:val="24"/>
                <w:lang w:bidi="ar"/>
              </w:rPr>
              <w:t>（提供双协议栈网络配置界面截图）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7.存储容量：内置不少于1T存储空间，用于录制视频文件的本地存储。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8.主机控制：具备Console控制接口≥2，支持RS232/422协议。</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9.外设连接：具备USB 2.0接口≥2，可用于连接U盘等外设。</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终端管理软件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一.</w:t>
            </w:r>
            <w:r>
              <w:rPr>
                <w:rFonts w:hint="eastAsia" w:ascii="仿宋" w:hAnsi="仿宋" w:eastAsia="仿宋" w:cs="仿宋"/>
                <w:b/>
                <w:bCs/>
                <w:kern w:val="0"/>
                <w:sz w:val="24"/>
                <w:lang w:bidi="ar"/>
              </w:rPr>
              <w:t>整体要求</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1.要求配套的录播流媒体处理软件在出厂时内置于高清录播主机中。</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2.软件架构：软件需采用B/S架构设计，使用主流浏览器通过网络即可访问软件后台进行管理应用。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3.自主知识产权：要求录播流媒体处理软件具备自主知识产权。（</w:t>
            </w:r>
            <w:r>
              <w:rPr>
                <w:rFonts w:hint="eastAsia" w:ascii="仿宋" w:hAnsi="仿宋" w:eastAsia="仿宋" w:cs="仿宋"/>
                <w:b/>
                <w:bCs/>
                <w:kern w:val="0"/>
                <w:sz w:val="24"/>
                <w:lang w:bidi="ar"/>
              </w:rPr>
              <w:t>提供录播流媒体处理相关功能的软件著作权登记证书或正版软件授权复印件</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二.录播模块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1.录制存储：要求在断网情况下也可以对本地教室进行视频录制，并将录制文件保存在录播主机的内置硬盘中。并要求支持1080P高清分辨率录制，采用MP4视频格式封装。</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2.录制模式：支持电影模式、资源模式等录制模式。电影模式下实现多路信号的复合成一路画面进行录制；资源模式下要求摄像机画面、电脑画面均可独立录制封装。</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3.高低码流录制：要求支持高低双码流同步录制，并要求支持自定义录制分辨率、码流。</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仿宋" w:hAnsi="仿宋" w:eastAsia="仿宋" w:cs="仿宋"/>
                <w:b/>
                <w:bCs/>
                <w:kern w:val="0"/>
                <w:sz w:val="24"/>
                <w:lang w:bidi="ar"/>
              </w:rPr>
              <w:t>（提供软件分段录制功能配置界面截图）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5.同步录制：要求支持U盘等外设设备接入主机后，实现本机与U盘同步录制保存的功能。主机正常录制的同时，另存为一份文件保存到U盘中。（</w:t>
            </w:r>
            <w:r>
              <w:rPr>
                <w:rFonts w:hint="eastAsia" w:ascii="仿宋" w:hAnsi="仿宋" w:eastAsia="仿宋" w:cs="仿宋"/>
                <w:b/>
                <w:bCs/>
                <w:kern w:val="0"/>
                <w:sz w:val="24"/>
                <w:lang w:bidi="ar"/>
              </w:rPr>
              <w:t>提供软件同步录制功能配置界面截图</w:t>
            </w:r>
            <w:r>
              <w:rPr>
                <w:rFonts w:hint="eastAsia" w:ascii="仿宋" w:hAnsi="仿宋" w:eastAsia="仿宋" w:cs="仿宋"/>
                <w:kern w:val="0"/>
                <w:sz w:val="24"/>
                <w:lang w:bidi="ar"/>
              </w:rPr>
              <w:t>）</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6.电子云镜：支持电子云镜技术，搭配电子云镜摄像机，实现单镜头拍摄生成全景和特写两组镜头画面并均满足1080P高清视频效果。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云台控制：支持EPTZ电子云台控制技术，实现对电子云镜摄像机的特写画面进行电子云台控制，包括画面上下左右移动、放大缩小变焦等操作。EPTZ电子云台控制功能应具有鼠标快速定位功能，通过鼠标点击快速居中画面区域。（</w:t>
            </w:r>
            <w:r>
              <w:rPr>
                <w:rFonts w:hint="eastAsia" w:ascii="仿宋" w:hAnsi="仿宋" w:eastAsia="仿宋" w:cs="仿宋"/>
                <w:b/>
                <w:bCs/>
                <w:kern w:val="0"/>
                <w:sz w:val="24"/>
                <w:lang w:bidi="ar"/>
              </w:rPr>
              <w:t>提供电子云台控制功能界面截图</w:t>
            </w:r>
            <w:r>
              <w:rPr>
                <w:rFonts w:hint="eastAsia" w:ascii="仿宋" w:hAnsi="仿宋" w:eastAsia="仿宋" w:cs="仿宋"/>
                <w:kern w:val="0"/>
                <w:sz w:val="24"/>
                <w:lang w:bidi="ar"/>
              </w:rPr>
              <w:t>）</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8.录制跟踪：要求内置录制画面跟踪功能，无需任何辅助装置，完成摄像机的画面拍摄和跟踪检测，实现课堂教师、学生行为的全自动跟踪。跟踪模式需包括教师走动全景、教师授课特写、教学课件跟踪、学生起立特写、学生听课全景等。为保障系统使用、管理便捷稳定，不接受使用额外配置跟踪主机的方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跟踪屏蔽：支持设置跟踪屏蔽区域，如主动屏蔽掉教师观摩区、窗户窗帘、教室门口、大屏液晶电视等易干扰跟踪效果的地方，所屏蔽的地方系统将不对其进行图像分析跟踪运算，以避免这些地方干扰整体的跟踪效果。（</w:t>
            </w:r>
            <w:r>
              <w:rPr>
                <w:rFonts w:hint="eastAsia" w:ascii="仿宋" w:hAnsi="仿宋" w:eastAsia="仿宋" w:cs="仿宋"/>
                <w:b/>
                <w:bCs/>
                <w:kern w:val="0"/>
                <w:sz w:val="24"/>
                <w:lang w:bidi="ar"/>
              </w:rPr>
              <w:t>提供教师跟踪场景、学生跟踪场景的屏蔽区域功能设置界面截图</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10.录制控制：要求支持录制、暂停、结束等基本功能操作，并支持通过外接控制设备以及网页web登录控制等方式进行录制控制。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11.音频处理：要求内置音频处理模块，支持EQ均衡、噪声抑制等音频处理功能。</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三.导播模块</w:t>
            </w:r>
            <w:r>
              <w:rPr>
                <w:rFonts w:hint="eastAsia" w:ascii="仿宋" w:hAnsi="仿宋" w:eastAsia="仿宋" w:cs="仿宋"/>
                <w:b/>
                <w:bCs/>
                <w:kern w:val="0"/>
                <w:sz w:val="24"/>
                <w:lang w:bidi="ar"/>
              </w:rPr>
              <w:br w:type="textWrapping"/>
            </w:r>
            <w:r>
              <w:rPr>
                <w:rFonts w:hint="eastAsia" w:ascii="仿宋" w:hAnsi="仿宋" w:eastAsia="仿宋" w:cs="仿宋"/>
                <w:kern w:val="0"/>
                <w:sz w:val="24"/>
                <w:lang w:bidi="ar"/>
              </w:rPr>
              <w:t>1.网络导播：为保障低配置电脑也能正常使用，要求支持通过浏览器访问录播主机进入导播界面，在导播界面实现对所有接入视频和录制效果画面的实时预览，并支持在手动导播模式下进行信号源实时切换录制。不接受安装客户端软件进行导播的方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2.导播模式：支持全自动、半自动、手动三种导播模式，并支持录制过程中任意切换导播模式。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3.导播预览：要求导播界面可实现接入画面的导播预览，预览画面需包括教师特写、教师全景、学生全景、学生特写、电脑画面等。并支持点击预览画面可自由切换录制画面进行录制。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4.画面布局：提供双分屏、三分屏、画中画等录制布局，并支持自定义布局方式，支持多个视频图层自由叠加组合，自定义布局时可随意拖拉画面窗口。</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5.导播跟踪：要求支持自动、半自动、手动三种导播模式。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6.摄像机预置位：要求支持8个摄像机电子云台预制位设置，导播过程中可便捷调取摄像机预设位置的画面。</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7.字幕台标：要求录制模式下支持Logo台标、字幕设置，可自主上传Logo图标、编辑字幕内容。</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8.音量控制：要求可通过导播界面进行音量控制，调整相关输入输出音量大小。</w:t>
            </w:r>
            <w:r>
              <w:rPr>
                <w:rFonts w:hint="eastAsia" w:ascii="仿宋" w:hAnsi="仿宋" w:eastAsia="仿宋" w:cs="仿宋"/>
                <w:b/>
                <w:bCs/>
                <w:kern w:val="0"/>
                <w:sz w:val="24"/>
                <w:lang w:bidi="ar"/>
              </w:rPr>
              <w:br w:type="textWrapping"/>
            </w:r>
            <w:r>
              <w:rPr>
                <w:rFonts w:hint="eastAsia" w:ascii="仿宋" w:hAnsi="仿宋" w:eastAsia="仿宋" w:cs="仿宋"/>
                <w:b/>
                <w:bCs/>
                <w:kern w:val="0"/>
                <w:sz w:val="24"/>
                <w:lang w:bidi="ar"/>
              </w:rPr>
              <w:t>四.直播模块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1.多流直播：要求支持RTMP和RTSP视频传输协议，并要求支持不少于3路RTMP同步推流直播，并可自定义选择主码流或子码流进行推流直播。（</w:t>
            </w:r>
            <w:r>
              <w:rPr>
                <w:rFonts w:hint="eastAsia" w:ascii="仿宋" w:hAnsi="仿宋" w:eastAsia="仿宋" w:cs="仿宋"/>
                <w:b/>
                <w:bCs/>
                <w:kern w:val="0"/>
                <w:sz w:val="24"/>
                <w:lang w:bidi="ar"/>
              </w:rPr>
              <w:t>提供软件功能界面截图</w:t>
            </w:r>
            <w:r>
              <w:rPr>
                <w:rFonts w:hint="eastAsia" w:ascii="仿宋" w:hAnsi="仿宋" w:eastAsia="仿宋" w:cs="仿宋"/>
                <w:kern w:val="0"/>
                <w:sz w:val="24"/>
                <w:lang w:bidi="ar"/>
              </w:rPr>
              <w:t>）</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2.直播码流：支持自定义直播分辨率和码率，最高支持1080P@30fps，以适应不同网络环境下保持直播的流畅性。</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3.直播模式：要求支持RTMP直播、TS直播、集控推流直播等不少于3种不同直播模式，以适应不同场景直播需求。</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五.互动模块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1.互动协议：支持H.323、SIP标准视音频互动协议，便捷进行远程互动教学应用。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2.互动要求：要求内置互动模块，无需额外部署MCU类设备即可支持“1+3”的互动授课模式，实现专递课堂教学应用。同时也需支持会议互动模式，创建或加入大规模视音频实时互动。（</w:t>
            </w:r>
            <w:r>
              <w:rPr>
                <w:rFonts w:hint="eastAsia" w:ascii="仿宋" w:hAnsi="仿宋" w:eastAsia="仿宋" w:cs="仿宋"/>
                <w:b/>
                <w:bCs/>
                <w:kern w:val="0"/>
                <w:sz w:val="24"/>
                <w:lang w:bidi="ar"/>
              </w:rPr>
              <w:t>提供“授课模式”及“会议模式”的功能界面截图</w:t>
            </w:r>
            <w:r>
              <w:rPr>
                <w:rFonts w:hint="eastAsia" w:ascii="仿宋" w:hAnsi="仿宋" w:eastAsia="仿宋" w:cs="仿宋"/>
                <w:kern w:val="0"/>
                <w:sz w:val="24"/>
                <w:lang w:bidi="ar"/>
              </w:rPr>
              <w:t>）</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3.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互动通讯录：支持对接获取互动云系统的通讯录数据，数据内容包括所有已在互动云系统注册的录播账号、录播昵称。支持通过通讯录选择互动对象直接呼叫，或手动输入录播账号进行呼叫，并提供导入通讯录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5.发言权限控制：通过录播主机的网络导播界面，需支持主讲端在互动过程中对其余互动参与者的发言权限进行控制，支持单人禁言/开启以及全场禁言/开启的控制方式。（</w:t>
            </w:r>
            <w:r>
              <w:rPr>
                <w:rFonts w:hint="eastAsia" w:ascii="仿宋" w:hAnsi="仿宋" w:eastAsia="仿宋" w:cs="仿宋"/>
                <w:b/>
                <w:bCs/>
                <w:kern w:val="0"/>
                <w:sz w:val="24"/>
                <w:lang w:bidi="ar"/>
              </w:rPr>
              <w:t>提供对应功能的功能界面截图</w:t>
            </w:r>
            <w:r>
              <w:rPr>
                <w:rFonts w:hint="eastAsia" w:ascii="仿宋" w:hAnsi="仿宋" w:eastAsia="仿宋" w:cs="仿宋"/>
                <w:kern w:val="0"/>
                <w:sz w:val="24"/>
                <w:lang w:bidi="ar"/>
              </w:rPr>
              <w:t>）</w:t>
            </w:r>
          </w:p>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6.互动画质：要求录播主机在双向互动过程中，可实现1080P@30FPS画质，并支持网络自适应功能。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7.互动网络检测：要求录播主机支持网络检测功能，测试录播主机与互动服务器之间的网络通讯情况，包括上下行丢包率数据、带宽数据。互动画面中可叠加显示各互动点的视频码流和丢包率。</w:t>
            </w:r>
            <w:r>
              <w:rPr>
                <w:rFonts w:hint="eastAsia" w:ascii="仿宋" w:hAnsi="仿宋" w:eastAsia="仿宋" w:cs="仿宋"/>
                <w:kern w:val="0"/>
                <w:sz w:val="24"/>
                <w:lang w:bidi="ar"/>
              </w:rPr>
              <w:br w:type="textWrapping"/>
            </w:r>
            <w:r>
              <w:rPr>
                <w:rFonts w:hint="eastAsia" w:ascii="仿宋" w:hAnsi="仿宋" w:eastAsia="仿宋" w:cs="仿宋"/>
                <w:b/>
                <w:bCs/>
                <w:kern w:val="0"/>
                <w:sz w:val="24"/>
                <w:lang w:bidi="ar"/>
              </w:rPr>
              <w:t>六.管理模块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1.录像管理：支持对录制视频按标题、主持人、时间、时长进行排序，便于快速检索所需视频。支持对录像文件进行回放和下载。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2.视频修复：支持硬盘格式化功能，支持对设备异常断电、宕机造成的损坏视频文件进行修复。（</w:t>
            </w:r>
            <w:r>
              <w:rPr>
                <w:rFonts w:hint="eastAsia" w:ascii="仿宋" w:hAnsi="仿宋" w:eastAsia="仿宋" w:cs="仿宋"/>
                <w:b/>
                <w:bCs/>
                <w:kern w:val="0"/>
                <w:sz w:val="24"/>
                <w:lang w:bidi="ar"/>
              </w:rPr>
              <w:t>提供上述功能软件界面截图</w:t>
            </w:r>
            <w:r>
              <w:rPr>
                <w:rFonts w:hint="eastAsia" w:ascii="仿宋" w:hAnsi="仿宋" w:eastAsia="仿宋" w:cs="仿宋"/>
                <w:kern w:val="0"/>
                <w:sz w:val="24"/>
                <w:lang w:bidi="ar"/>
              </w:rPr>
              <w:t>）</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3.版本切换：支持中英双语版本切换，适合不同用户的应用需求。要求通过网络导播界面即可便捷切换，无需进行更改授权、系统升级等复杂操作。（</w:t>
            </w:r>
            <w:r>
              <w:rPr>
                <w:rFonts w:hint="eastAsia" w:ascii="仿宋" w:hAnsi="仿宋" w:eastAsia="仿宋" w:cs="仿宋"/>
                <w:b/>
                <w:bCs/>
                <w:kern w:val="0"/>
                <w:sz w:val="24"/>
                <w:lang w:bidi="ar"/>
              </w:rPr>
              <w:t>提供英文界面截图</w:t>
            </w:r>
            <w:r>
              <w:rPr>
                <w:rFonts w:hint="eastAsia" w:ascii="仿宋" w:hAnsi="仿宋" w:eastAsia="仿宋" w:cs="仿宋"/>
                <w:kern w:val="0"/>
                <w:sz w:val="24"/>
                <w:lang w:bidi="ar"/>
              </w:rPr>
              <w:t>）</w:t>
            </w:r>
            <w:r>
              <w:rPr>
                <w:rFonts w:hint="eastAsia" w:ascii="仿宋" w:hAnsi="仿宋" w:eastAsia="仿宋" w:cs="仿宋"/>
                <w:b/>
                <w:bCs/>
                <w:kern w:val="0"/>
                <w:sz w:val="24"/>
                <w:lang w:bidi="ar"/>
              </w:rPr>
              <w:br w:type="textWrapping"/>
            </w:r>
            <w:r>
              <w:rPr>
                <w:rFonts w:hint="eastAsia" w:ascii="仿宋" w:hAnsi="仿宋" w:eastAsia="仿宋" w:cs="仿宋"/>
                <w:kern w:val="0"/>
                <w:sz w:val="24"/>
                <w:lang w:bidi="ar"/>
              </w:rPr>
              <w:t>4.面板管控：支持接入控制面板，对录播设备进行唤醒、录制管理。</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老师高清摄像机</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1.传感器类型：CMOS、1/2.5英寸</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2.采用逐行扫描模式，有效像素不低于1130万。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3.采用了2D和基于运动估计的3D降噪算法</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4.最大水平视场角49°，最大垂直视场角28.2°</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5.网络接口：RJ45接口≥1，10/100/1000M自适应</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6.视频接口：3G-SDI≥1</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7.编码技术：视频H.264/H.265</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8.支持DC12V电源适配器供电与POC供电方式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9.内置跟踪分析功能，无需辅助跟踪摄像头即可完成对象跟踪捕捉，支持教师全景和特写切换跟踪模式。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10.支持电子云镜技术，单镜头拍摄可输出“全景”、“特写”双信号画面至录播主机。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学生高清摄像机</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1.传感器类型：CMOS、1/2.5英寸</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2.采用逐行扫描模式，有效像素不低于1130万。</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3.采用了2D和基于运动估计的3D降噪算法</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4.最大水平视场角84.7°，最大垂直视场角53.4°</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5.网络接口：RJ45≥1，10/100/1000M自适应</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6.视频接口：3G-SDI≥1</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7.编码技术：视频H.264/H.265</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8.支持DC12V电源适配器供电与POC供电方式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9.内置跟踪分析功能，无需辅助跟踪摄像头即可完成对象跟踪捕捉，支持学生全景和特写切换跟踪模式。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10.支持电子云镜技术，单镜头拍摄可输出“全景”、“特写”双信号画面至录播主机。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11.要求摄像机与录播主机为同一品牌。</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全向拾音麦克风</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b/>
                <w:bCs/>
                <w:kern w:val="0"/>
                <w:sz w:val="24"/>
                <w:lang w:bidi="ar"/>
              </w:rPr>
              <w:t>硬件参数：</w:t>
            </w:r>
            <w:r>
              <w:rPr>
                <w:rFonts w:hint="eastAsia" w:ascii="仿宋" w:hAnsi="仿宋" w:eastAsia="仿宋" w:cs="仿宋"/>
                <w:kern w:val="0"/>
                <w:sz w:val="24"/>
                <w:lang w:bidi="ar"/>
              </w:rPr>
              <w:t xml:space="preserve">                                                         </w:t>
            </w:r>
          </w:p>
          <w:p>
            <w:pPr>
              <w:widowControl/>
              <w:numPr>
                <w:ilvl w:val="0"/>
                <w:numId w:val="1"/>
              </w:numPr>
              <w:jc w:val="left"/>
              <w:textAlignment w:val="center"/>
              <w:rPr>
                <w:rFonts w:ascii="仿宋" w:hAnsi="仿宋" w:eastAsia="仿宋" w:cs="仿宋"/>
                <w:kern w:val="0"/>
                <w:sz w:val="24"/>
                <w:lang w:bidi="ar"/>
              </w:rPr>
            </w:pPr>
            <w:r>
              <w:rPr>
                <w:rFonts w:hint="eastAsia" w:ascii="仿宋" w:hAnsi="仿宋" w:eastAsia="仿宋" w:cs="仿宋"/>
                <w:kern w:val="0"/>
                <w:sz w:val="24"/>
                <w:lang w:bidi="ar"/>
              </w:rPr>
              <w:t>类型：360°全指向数字阵列麦克风；</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2.拾音距离：不小于8米拾音距离；</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3.音频输入接口：line in（3.5mm）≥1；</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4.音频输出接口：line out（3.5mm）≥2；</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5.USB接口：USB 2.0≥1，支持UAC 1.0协议，实现音频数据通信；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6.灵敏度：-26dBFS；</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7.信噪比：不小于80dB(A)；</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8.频率响应：20Hz-16kHz；</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9.采样率：不小于32K采样的宽带音频采样；</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10.音频处理：需支持回声消除、噪声抑制、增益控制等自动音频处理功能；                                                                 </w:t>
            </w:r>
            <w:r>
              <w:rPr>
                <w:rFonts w:hint="eastAsia" w:ascii="仿宋" w:hAnsi="仿宋" w:eastAsia="仿宋" w:cs="仿宋"/>
                <w:b/>
                <w:bCs/>
                <w:kern w:val="0"/>
                <w:sz w:val="24"/>
                <w:lang w:bidi="ar"/>
              </w:rPr>
              <w:t>软件功能：</w:t>
            </w:r>
            <w:r>
              <w:rPr>
                <w:rFonts w:hint="eastAsia" w:ascii="仿宋" w:hAnsi="仿宋" w:eastAsia="仿宋" w:cs="仿宋"/>
                <w:kern w:val="0"/>
                <w:sz w:val="24"/>
                <w:lang w:bidi="ar"/>
              </w:rPr>
              <w:t xml:space="preserve">                                                         </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1.具备音频效果自适应校准能力，在不同场地均能实现自动校准，无需配手工配置。</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2.支持全向智能拾音追踪，自动追踪识别发言人，拾音范围内的声音均能清晰拾取。</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3.具备自动增益功能，在拾音范围内，无论演讲者距离麦克风的距离远或近，均能实现音量恒定输出。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4.具备反馈抑制功能，有效抑制啸叫现象。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5.具备智能自动降噪功能，智能识别和抑制背景常态噪音，如空调等噪声实现自动检测和消除。</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独显终端(附影音集成终端系统软件 )</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1.自带22寸1080P液晶显示屏，用于本地视频输入显示及网络视频接入显示；</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2.支持3G-SDI和HDMI高清视频输入接口，其中HDMI支持4K超高清视频输入。</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3.支持4路1080P高清网络视频接入预览和存储；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4.采用高品质AAC音频编码技术,支持音频1进1出，并自带立体扬声器；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 xml:space="preserve">5.支持外接HDMI和VGA显示器，实现扩展显示输出；其中HDMI最大支持4K； </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6.支持本地储存（硬盘、U盘及移动硬盘），自带1T硬盘存储；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7.全新的UI操作界面，支持自动扫描并添加 IPC 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8.支持红外遥控器和鼠标操作控制；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9.支持USB接口，可实现音视频的录制和拷贝；</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10.支持H.265高效压缩算法，可较大节省存储空间；</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11.支持RS485通信接口，HIKVISION、PELCO-P和PELCO-D等通信协议，可实现PTZ控制；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12.支持按键控制录像开启和停止；</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13.支持录像/图片文件检索、回放，支持录像循环覆盖；</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14.支持按关键字搜索，提高检索效率。</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近景摄像机(附摄像机系统软件）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1.配置近摄距离：150mm（广角）-900mm(全焦段)</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2.视频信号：最大1080P/60帧</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3.镜头：4.7-47mm，10倍光学变焦</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4.控制：控制面板、RS485、遥控器；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5.控制：一键调焦、一键变倍、一键图像冻结、一键抓图；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6.强光抑制：可在高达160000lx高亮环境下清晰拍摄；</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7.安装：支持桌面夹装支架、壁装支架等；</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8.支持场景配置：普通模式/常亮无影灯模式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9.电源：DC12V。</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控制面板</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1.硬件设计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1）支持壁挂式上墙部署；</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2）具备10.1英寸1280*800高清全视角显示屏幕；</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3）存储性能：缓存容量不小于2G,存储容量不小于16G；</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4）操作系统 ：Android 5.1及以上版本；</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5）接口类型：SD 卡槽≥1，USB≥1， 网络接口≥1，3.5mm耳麦接口≥1；</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2.整体设计</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1）控制方式：支持通过网络连接进行录播主机的管理、控制；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2）电源管理：支持控制录播主机的关机、休眠、唤醒操作；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3）集成录课模式控制、互动模式控制、录像资源管理等控制应用；</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3.录课模式控制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1）支持通过触控面板实时预览录制信号画面，进行导播操作；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2）支持录制开始/停止、录制暂停/恢复、直播开启/关闭、电脑画面锁定/解锁等功能操作；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3）支持常用键位设置，可设置各镜头快速切换、画面布局等相关录课操作常用键位；</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4.互动模式控制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1）支持通讯录呼叫功能，读取显示录播主机通讯录，并能够通过通讯录进行快速呼叫；</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2）支持快速拨号呼叫功能，输入用户短号实现快速呼叫；</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3）支持通过触控面板实时预览互动信号画面，实现直观互动控制；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4）支持互动过程的录制、暂停、直播等操作；</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5）支持互动过程的自动导播控制、互动导播画面自由选择控制功能；</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5.录像资源管理控制</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1）支持录像资源管理，通过导播控制软件直观呈现当前录播主机的录像资源信息，并支持选择相关的录课资源进行回放；</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2）支持录制资源下载操作，将文件下载至U盘进行移动共享。"</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钢木讲台（定制）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定制\录播主机放入，控制面板安装桌面，其中一台六口交换机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ascii="仿宋" w:hAnsi="仿宋" w:eastAsia="仿宋" w:cs="仿宋"/>
                <w:kern w:val="0"/>
                <w:sz w:val="24"/>
              </w:rPr>
              <w:drawing>
                <wp:inline distT="0" distB="0" distL="0" distR="0">
                  <wp:extent cx="1125220" cy="1093470"/>
                  <wp:effectExtent l="0" t="0" r="0" b="0"/>
                  <wp:docPr id="3" name="图片 3" descr="C:\Users\Administrator\Documents\WeChat Files\w773098\FileStorage\Temp\1717639715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w773098\FileStorage\Temp\17176397150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27148" cy="109502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吸顶空调</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1.空调类型：嵌入式空调</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2.冷暖类型：冷暖电辅</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3.能效等级：三级能效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4.制冷量：12000W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5.制热量：13000+2700W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6.室内机噪音：41-51dB</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7.室外机噪音：60dB</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立式空调</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1.空调类型：立柜式空调</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2.冷暖类型：冷暖型</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3.能效等级：二级能效</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4.制冷量：7200（2400-8200）W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5.制热量：9300（1950-11800）W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6.室内机噪音：37-42dB</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7室外机噪音：≤56dB</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85寸电视机</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一、核心参数：</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1、机芯;ZA107B1-N-1操作系统;Android 10.0/64位电视系统CPU四核;A55 主频MAX 1.6GHz协处理器;4核GPU双核;G52CPU支持的功能;虹领金、4K、H.265DDR/Flash;DDR4 3GB / 32GB EMMC  数字电视;DTMB图像处理技术;8K解码（8K30P）、AI-SR、杜比视界MEMC动态补偿技术;支持HDR芯片;支持彩色制式（接收制式）;PAL/NTSC视频解码（USB支持）;H.264/AVC、H.265/HEVC、TS、AVI、MPG、MKV、MOV、MP4、FLV等常见多媒体视频格式图片格式（USB支持）;JPEG、PNG、BMP等常见图片格式射频参数;</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频段、带宽：2400MHz~2483.5MHz： ≤40MHz : ≤20dBm(EIRP)5150MHz~5350MHz： ≤80MHz: ≤20/23dBm(EIRP)(不支持TPC)5725MHz~5850MHz： ≤80MHz：≤33dBm(EIRP)BT：2400MHz~2483.5MHz：≤3MHz：≤20dBm(EIRP)</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2、调制方式：</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Wi-Fi:DBPSK/DQPSK/CCK//DSSS/BPSK/QPSK/16QAM/64QAM/256QAM/1024QAM/OFDM/OFDAM</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BT:FHSS/GFSK/DPSK/DQPSK3、协议：</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Wi-Fi:802.11b/g/n/ac（2x2）</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BT:2.1+EDR/4.2/5.1音质参数;音画情景模式标准模式、UMAX影院、文字阅读、劲爆体育、极速游戏、我的模式音频系统;五段均衡、杜比原声、杜比解码、杜比全景声音效音频解码;MPEG1/2 Layer1/2、MP3、Dolby（AC-3）、AAC、HE-AAC等输出功率-伴音功率;音箱功率：2X15W最大不失真功率：2X12W伴音制式;D/K、B/G、I、M扬声器数量（个）;4个耳机端口（个）;不支持接口配置;输入USB2.0*1  USB3.0*1  HDMI2.1*2（支持部分功能，含eARC） VGA接口无数字RF;支持模拟RF;支持数字电视CAM卡槽;无麦克风接口;无摄像头;支持(需另行购买)YPbPr;无网络接口*1AV-in*1SD卡座;无内置WIFI;支持，双频WiFi 蓝牙遥控模块;支持，蓝牙5.1耳机输入;无输出AV输出无同轴/光纤;同轴*1网络参数网络连接支持;链接方式无线+网线 支持网卡型号5G/2.4G双频802.11a/n/g/b/ac</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灯具</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1.显色指数：Ra＞95，R9＞90</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2.系统功率：≤36W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3.功率因数≥0.98</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4.产品尺寸：L600×W600×H35mm</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5.防护等级：IP40</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6.光通量：≥3200Lm</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7.光效：90Lm/W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8.色温：5000K±200K</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9.色容差：SDCM＜3</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10.维持平均照度：≥430lx</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11.均匀度：0.85</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12.眩光值：≤16</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13.照明功率密度：≤6W/㎡</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14.频闪：无显著影响</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15.蓝光危害：RG0（豁免级）</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16.产品认证：CCC</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会议桌（定制）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定制尺寸长1200mm*宽600mm*高750mm*6个，含六只椅子，桌子可拼接折叠可组合</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ascii="仿宋" w:hAnsi="仿宋" w:eastAsia="仿宋" w:cs="仿宋"/>
                <w:kern w:val="0"/>
                <w:sz w:val="24"/>
              </w:rPr>
              <w:drawing>
                <wp:inline distT="0" distB="0" distL="0" distR="0">
                  <wp:extent cx="1276985" cy="800100"/>
                  <wp:effectExtent l="0" t="0" r="0" b="0"/>
                  <wp:docPr id="4" name="图片 4" descr="C:\Users\Administrator\Documents\WeChat Files\w773098\FileStorage\Temp\171763983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WeChat Files\w773098\FileStorage\Temp\171763983068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7353" cy="8001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智能控制器</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要求控制三窗帘一灯光一空调：产品尺寸:87 x87 x 30.5mm;产品净重:279g;电源输入:12V-1A;工作温度:-5℃~50℃;有线连接:10/100Mbps 自适应网口1个;无线连接:Wi-FiIEEE 802.11a/b/g/n/ac2.4GHz/5GHz，蓝牙 5.0;支持系统:Android 7.0 或 iOS 11.0及以上版本，灯光控制：实现灯光软启动，调光，一键场景，分区灯光管理，可用远程，语音，联动等多种控制方式.窗帘控制：由窗帘，轨道和电机，智能网关组成，通过语音和手机控制.空调控制：除传统按键控制外，还加入蓝牙，温度传感器，红外线技术等模块通过手机或语音直接控制空调，实现远程控制和自动控制</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白板</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H型支架亮光珍珠白玻璃白板 90x120cm</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储物柜（定制）</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定制尺寸高2米*宽0.4米*深0.4米</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ascii="仿宋" w:hAnsi="仿宋" w:eastAsia="仿宋" w:cs="仿宋"/>
                <w:kern w:val="0"/>
                <w:sz w:val="24"/>
              </w:rPr>
              <w:drawing>
                <wp:inline distT="0" distB="0" distL="0" distR="0">
                  <wp:extent cx="1309370" cy="1438275"/>
                  <wp:effectExtent l="0" t="0" r="5080" b="0"/>
                  <wp:docPr id="5" name="图片 5" descr="C:\Users\Administrator\Documents\WeChat Files\w773098\FileStorage\Temp\1717639931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WeChat Files\w773098\FileStorage\Temp\17176399316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09558" cy="14382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 xml:space="preserve"> 视频会议摄像头一体机</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广角高清网络视频全向麦音频系统摄像麦克风扬声器遥控4合1直播录播网课 【40㎡会议】</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无线投屏器</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电脑手机平板电视Type-c高清传输器投影仪显示器：4K无线投屏器</w:t>
            </w:r>
          </w:p>
          <w:p>
            <w:pPr>
              <w:widowControl/>
              <w:jc w:val="left"/>
              <w:textAlignment w:val="center"/>
              <w:rPr>
                <w:rFonts w:ascii="仿宋" w:hAnsi="仿宋" w:eastAsia="仿宋" w:cs="仿宋"/>
                <w:sz w:val="24"/>
              </w:rPr>
            </w:pPr>
            <w:r>
              <w:rPr>
                <w:rFonts w:hint="eastAsia" w:ascii="仿宋" w:hAnsi="仿宋" w:eastAsia="仿宋" w:cs="仿宋"/>
                <w:kern w:val="0"/>
                <w:sz w:val="24"/>
                <w:lang w:bidi="ar"/>
              </w:rPr>
              <w:t>视频接口:HDMI2.0;WiFi 类型:2.4G+5G 双频段;外壳:ABS+PC;分辨率:4K/60Hz;供电:5V2A;配线:HDMI线0.8米供电线1米</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门禁</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 xml:space="preserve">D2，内含磁力锁，门禁电源，出门按钮.设置钉钉考勤组，不用学校的家校通讯录，不需要支付平台费用，能够导出考勤报表  </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操作系统：Android；摄像头：双摄≥ 200万；显示屏：≥ 4寸触摸屏，显示分辨率≥ 480*800；人脸底库：≥ 3000；识别距离：≥ 1m；支持活体检测；支持WIFI；有线网络：10M/100M；支持蓝牙；支持白色补光和红色补光；支持扬声器；支持RJ45, Micr o-USB, T ype-C, 8PIN接口；电源：DC12V2A；设备功率：≤24W；工作环境：-10℃~40℃。</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电动螺丝刀</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机器*1 六方批头（H5*1/H4*2/H3*2） 梅花批头（T20*2/T15*2/T10*1） 四方批头（S0*1/S1*1/S2*1） 一字批头（SL3*1/SL4*1/SL5*1) 米字批头（PZ1*1/PZ2*1) 十字批头（PH1*2/PH2*3/PH3*1) 60mm 磁性接杆 50mm加长批头PH2 50mm加长批头SL4 φ3mm六角麻花钻 USB充电线(Type-C) 磁性板 挂绳</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吸尘器</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额定功率1600W；额定电压220V；功能参数：吸头数量2个；吸头类型：多功能；CCC强制性认证：是</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r>
        <w:tblPrEx>
          <w:tblCellMar>
            <w:top w:w="0" w:type="dxa"/>
            <w:left w:w="108" w:type="dxa"/>
            <w:bottom w:w="0" w:type="dxa"/>
            <w:right w:w="108" w:type="dxa"/>
          </w:tblCellMar>
        </w:tblPrEx>
        <w:trPr>
          <w:trHeight w:val="397"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kern w:val="0"/>
                <w:sz w:val="24"/>
                <w:lang w:bidi="ar"/>
              </w:rPr>
            </w:pPr>
            <w:r>
              <w:rPr>
                <w:rFonts w:hint="eastAsia" w:ascii="仿宋" w:hAnsi="仿宋" w:eastAsia="仿宋" w:cs="仿宋"/>
                <w:kern w:val="0"/>
                <w:sz w:val="24"/>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rPr>
            </w:pPr>
            <w:r>
              <w:rPr>
                <w:rFonts w:hint="eastAsia" w:ascii="仿宋" w:hAnsi="仿宋" w:eastAsia="仿宋" w:cs="仿宋"/>
                <w:kern w:val="0"/>
                <w:sz w:val="24"/>
              </w:rPr>
              <w:t>室内wifi</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1775M双频千兆吸顶AP，1个千兆LAN口上联，内置天线，支持2.4GHz/5GHz双频通信，支持802.11a/b/g/n/ac Wave1/Wave2/ax协议。支持AP与路由两种工作模式。</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lang w:bidi="ar"/>
              </w:rPr>
            </w:pPr>
          </w:p>
        </w:tc>
      </w:tr>
    </w:tbl>
    <w:p>
      <w:pPr>
        <w:pStyle w:val="2"/>
        <w:ind w:firstLine="0"/>
      </w:pPr>
    </w:p>
    <w:p>
      <w:pPr>
        <w:widowControl/>
        <w:jc w:val="left"/>
        <w:rPr>
          <w:rFonts w:ascii="仿宋" w:hAnsi="仿宋" w:eastAsia="仿宋"/>
          <w:b/>
          <w:sz w:val="24"/>
        </w:rPr>
      </w:pPr>
    </w:p>
    <w:p>
      <w:pPr>
        <w:widowControl/>
        <w:jc w:val="left"/>
        <w:rPr>
          <w:rFonts w:ascii="仿宋" w:hAnsi="仿宋" w:eastAsia="仿宋"/>
          <w:b/>
          <w:sz w:val="24"/>
        </w:rPr>
      </w:pPr>
      <w:r>
        <w:rPr>
          <w:rFonts w:hint="eastAsia" w:ascii="仿宋" w:hAnsi="仿宋" w:eastAsia="仿宋"/>
          <w:b/>
          <w:sz w:val="24"/>
        </w:rPr>
        <w:t>附件3</w:t>
      </w:r>
    </w:p>
    <w:p>
      <w:pPr>
        <w:spacing w:before="100" w:line="340" w:lineRule="exact"/>
        <w:ind w:firstLine="723" w:firstLineChars="200"/>
        <w:jc w:val="center"/>
        <w:rPr>
          <w:rFonts w:ascii="仿宋" w:hAnsi="仿宋" w:eastAsia="仿宋"/>
          <w:b/>
          <w:sz w:val="36"/>
          <w:szCs w:val="36"/>
        </w:rPr>
      </w:pPr>
      <w:r>
        <w:rPr>
          <w:rFonts w:hint="eastAsia" w:ascii="仿宋" w:hAnsi="仿宋" w:eastAsia="仿宋"/>
          <w:b/>
          <w:sz w:val="36"/>
          <w:szCs w:val="36"/>
        </w:rPr>
        <w:t>技术参数响应表</w:t>
      </w:r>
    </w:p>
    <w:p>
      <w:pPr>
        <w:spacing w:before="100" w:line="340" w:lineRule="exact"/>
        <w:ind w:firstLine="723" w:firstLineChars="200"/>
        <w:jc w:val="center"/>
        <w:rPr>
          <w:rFonts w:ascii="仿宋" w:hAnsi="仿宋" w:eastAsia="仿宋"/>
          <w:b/>
          <w:sz w:val="36"/>
          <w:szCs w:val="36"/>
        </w:rPr>
      </w:pPr>
    </w:p>
    <w:p>
      <w:pPr>
        <w:rPr>
          <w:rFonts w:ascii="仿宋" w:hAnsi="仿宋" w:eastAsia="仿宋" w:cs="宋体"/>
          <w:kern w:val="0"/>
          <w:sz w:val="24"/>
        </w:rPr>
      </w:pPr>
      <w:r>
        <w:rPr>
          <w:rFonts w:hint="eastAsia" w:ascii="仿宋" w:hAnsi="仿宋" w:eastAsia="仿宋"/>
          <w:b/>
          <w:sz w:val="24"/>
        </w:rPr>
        <w:t>项目名称：</w:t>
      </w:r>
      <w:r>
        <w:rPr>
          <w:rFonts w:hint="eastAsia" w:ascii="仿宋" w:hAnsi="仿宋" w:eastAsia="仿宋" w:cs="宋体"/>
          <w:kern w:val="0"/>
          <w:sz w:val="24"/>
        </w:rPr>
        <w:t>湖州师范学院教师教育学院师范生智慧教学实验室二期设备采购项目</w:t>
      </w:r>
    </w:p>
    <w:p>
      <w:pPr>
        <w:spacing w:line="340" w:lineRule="exact"/>
        <w:jc w:val="left"/>
        <w:rPr>
          <w:rFonts w:ascii="仿宋" w:hAnsi="仿宋" w:eastAsia="仿宋"/>
          <w:sz w:val="24"/>
        </w:rPr>
      </w:pPr>
      <w:r>
        <w:rPr>
          <w:rFonts w:hint="eastAsia" w:ascii="仿宋" w:hAnsi="仿宋" w:eastAsia="仿宋"/>
          <w:b/>
          <w:sz w:val="24"/>
        </w:rPr>
        <w:t>项目编号：</w:t>
      </w:r>
      <w:r>
        <w:rPr>
          <w:rFonts w:hint="eastAsia" w:ascii="仿宋" w:hAnsi="仿宋" w:eastAsia="仿宋"/>
          <w:sz w:val="24"/>
        </w:rPr>
        <w:t>XZ2024-040</w:t>
      </w:r>
    </w:p>
    <w:tbl>
      <w:tblPr>
        <w:tblStyle w:val="11"/>
        <w:tblW w:w="10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2041"/>
        <w:gridCol w:w="3139"/>
        <w:gridCol w:w="2968"/>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29"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序号</w:t>
            </w:r>
          </w:p>
        </w:tc>
        <w:tc>
          <w:tcPr>
            <w:tcW w:w="2041"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名称</w:t>
            </w:r>
          </w:p>
        </w:tc>
        <w:tc>
          <w:tcPr>
            <w:tcW w:w="3139"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技术参数需求</w:t>
            </w:r>
          </w:p>
        </w:tc>
        <w:tc>
          <w:tcPr>
            <w:tcW w:w="2968"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投标产品技术参数</w:t>
            </w:r>
          </w:p>
        </w:tc>
        <w:tc>
          <w:tcPr>
            <w:tcW w:w="1437" w:type="dxa"/>
            <w:noWrap/>
            <w:vAlign w:val="center"/>
          </w:tcPr>
          <w:p>
            <w:pPr>
              <w:pStyle w:val="10"/>
              <w:widowControl/>
              <w:spacing w:before="225" w:beforeAutospacing="0" w:after="225" w:afterAutospacing="0" w:line="0" w:lineRule="atLeast"/>
              <w:jc w:val="center"/>
              <w:rPr>
                <w:rFonts w:ascii="仿宋" w:hAnsi="仿宋" w:eastAsia="仿宋" w:cs="仿宋"/>
                <w:b/>
              </w:rPr>
            </w:pPr>
            <w:r>
              <w:rPr>
                <w:rFonts w:hint="eastAsia" w:ascii="仿宋" w:hAnsi="仿宋" w:eastAsia="仿宋" w:cs="仿宋"/>
                <w:b/>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29" w:type="dxa"/>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1</w:t>
            </w:r>
          </w:p>
        </w:tc>
        <w:tc>
          <w:tcPr>
            <w:tcW w:w="2041" w:type="dxa"/>
            <w:noWrap/>
            <w:vAlign w:val="center"/>
          </w:tcPr>
          <w:p>
            <w:pPr>
              <w:jc w:val="center"/>
              <w:rPr>
                <w:rFonts w:ascii="仿宋" w:hAnsi="仿宋" w:eastAsia="仿宋" w:cs="宋体"/>
                <w:kern w:val="0"/>
                <w:sz w:val="24"/>
              </w:rPr>
            </w:pPr>
            <w:r>
              <w:rPr>
                <w:rFonts w:hint="eastAsia" w:ascii="仿宋" w:hAnsi="仿宋" w:eastAsia="仿宋" w:cs="仿宋_GB2312"/>
                <w:bCs/>
                <w:sz w:val="24"/>
              </w:rPr>
              <w:t>推拉绿板（定制）</w:t>
            </w:r>
          </w:p>
        </w:tc>
        <w:tc>
          <w:tcPr>
            <w:tcW w:w="3139" w:type="dxa"/>
            <w:noWrap/>
            <w:vAlign w:val="center"/>
          </w:tcPr>
          <w:p>
            <w:pPr>
              <w:widowControl/>
              <w:jc w:val="left"/>
              <w:textAlignment w:val="center"/>
              <w:rPr>
                <w:rFonts w:ascii="仿宋" w:hAnsi="仿宋" w:eastAsia="仿宋" w:cs="仿宋"/>
                <w:sz w:val="24"/>
              </w:rPr>
            </w:pPr>
          </w:p>
        </w:tc>
        <w:tc>
          <w:tcPr>
            <w:tcW w:w="2968" w:type="dxa"/>
            <w:noWrap/>
            <w:vAlign w:val="center"/>
          </w:tcPr>
          <w:p>
            <w:pPr>
              <w:widowControl/>
              <w:jc w:val="left"/>
              <w:textAlignment w:val="center"/>
              <w:rPr>
                <w:rFonts w:ascii="仿宋" w:hAnsi="仿宋" w:eastAsia="仿宋" w:cs="仿宋"/>
                <w:sz w:val="24"/>
              </w:rPr>
            </w:pPr>
          </w:p>
        </w:tc>
        <w:tc>
          <w:tcPr>
            <w:tcW w:w="1437" w:type="dxa"/>
            <w:noWrap/>
            <w:vAlign w:val="center"/>
          </w:tcPr>
          <w:p>
            <w:pPr>
              <w:rPr>
                <w:rFonts w:ascii="仿宋" w:hAnsi="仿宋" w:eastAsia="仿宋"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29" w:type="dxa"/>
            <w:noWrap/>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w:t>
            </w:r>
          </w:p>
        </w:tc>
        <w:tc>
          <w:tcPr>
            <w:tcW w:w="2041" w:type="dxa"/>
            <w:noWrap/>
            <w:vAlign w:val="center"/>
          </w:tcPr>
          <w:p>
            <w:pPr>
              <w:jc w:val="center"/>
              <w:rPr>
                <w:rFonts w:ascii="仿宋" w:hAnsi="仿宋" w:eastAsia="仿宋" w:cs="宋体"/>
                <w:kern w:val="0"/>
                <w:sz w:val="24"/>
              </w:rPr>
            </w:pPr>
            <w:r>
              <w:rPr>
                <w:rFonts w:hint="eastAsia" w:ascii="仿宋" w:hAnsi="仿宋" w:eastAsia="仿宋" w:cs="宋体"/>
                <w:kern w:val="0"/>
                <w:sz w:val="24"/>
              </w:rPr>
              <w:t>...</w:t>
            </w:r>
          </w:p>
        </w:tc>
        <w:tc>
          <w:tcPr>
            <w:tcW w:w="3139" w:type="dxa"/>
            <w:noWrap/>
            <w:vAlign w:val="center"/>
          </w:tcPr>
          <w:p>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w:t>
            </w:r>
          </w:p>
        </w:tc>
        <w:tc>
          <w:tcPr>
            <w:tcW w:w="2968" w:type="dxa"/>
            <w:noWrap/>
            <w:vAlign w:val="center"/>
          </w:tcPr>
          <w:p>
            <w:pPr>
              <w:widowControl/>
              <w:jc w:val="left"/>
              <w:textAlignment w:val="center"/>
              <w:rPr>
                <w:rFonts w:ascii="仿宋" w:hAnsi="仿宋" w:eastAsia="仿宋" w:cs="仿宋"/>
                <w:kern w:val="0"/>
                <w:sz w:val="24"/>
                <w:lang w:bidi="ar"/>
              </w:rPr>
            </w:pPr>
          </w:p>
        </w:tc>
        <w:tc>
          <w:tcPr>
            <w:tcW w:w="1437" w:type="dxa"/>
            <w:noWrap/>
            <w:vAlign w:val="center"/>
          </w:tcPr>
          <w:p>
            <w:pPr>
              <w:rPr>
                <w:rFonts w:ascii="仿宋" w:hAnsi="仿宋" w:eastAsia="仿宋" w:cs="宋体"/>
                <w:kern w:val="0"/>
                <w:sz w:val="24"/>
              </w:rPr>
            </w:pPr>
          </w:p>
        </w:tc>
      </w:tr>
    </w:tbl>
    <w:p>
      <w:pPr>
        <w:spacing w:line="340" w:lineRule="exact"/>
        <w:jc w:val="left"/>
        <w:rPr>
          <w:rFonts w:ascii="仿宋" w:hAnsi="仿宋" w:eastAsia="仿宋"/>
          <w:b/>
          <w:sz w:val="24"/>
        </w:rPr>
      </w:pPr>
    </w:p>
    <w:p>
      <w:pPr>
        <w:rPr>
          <w:rFonts w:ascii="仿宋" w:hAnsi="仿宋" w:eastAsia="仿宋" w:cs="仿宋_GB2312"/>
          <w:b/>
          <w:szCs w:val="21"/>
        </w:rPr>
      </w:pPr>
      <w:r>
        <w:rPr>
          <w:rFonts w:hint="eastAsia" w:ascii="仿宋" w:hAnsi="仿宋" w:eastAsia="仿宋" w:cs="仿宋_GB2312"/>
          <w:b/>
          <w:szCs w:val="21"/>
        </w:rPr>
        <w:t>注：根据技术参数需求表制作，技术参数存在负偏离作无效标处理。</w:t>
      </w:r>
    </w:p>
    <w:p>
      <w:pPr>
        <w:widowControl/>
        <w:ind w:firstLine="5040" w:firstLineChars="2100"/>
        <w:jc w:val="left"/>
        <w:rPr>
          <w:rFonts w:ascii="仿宋" w:hAnsi="仿宋" w:eastAsia="仿宋"/>
          <w:sz w:val="24"/>
        </w:rPr>
      </w:pPr>
    </w:p>
    <w:p>
      <w:pPr>
        <w:widowControl/>
        <w:ind w:firstLine="5040" w:firstLineChars="2100"/>
        <w:jc w:val="left"/>
        <w:rPr>
          <w:rFonts w:ascii="仿宋" w:hAnsi="仿宋" w:eastAsia="仿宋"/>
          <w:sz w:val="24"/>
        </w:rPr>
      </w:pPr>
    </w:p>
    <w:p>
      <w:pPr>
        <w:widowControl/>
        <w:ind w:firstLine="5040" w:firstLineChars="2100"/>
        <w:jc w:val="left"/>
        <w:rPr>
          <w:rFonts w:ascii="仿宋" w:hAnsi="仿宋" w:eastAsia="仿宋"/>
          <w:sz w:val="24"/>
        </w:rPr>
      </w:pPr>
      <w:r>
        <w:rPr>
          <w:rFonts w:hint="eastAsia" w:ascii="仿宋" w:hAnsi="仿宋" w:eastAsia="仿宋"/>
          <w:sz w:val="24"/>
        </w:rPr>
        <w:t>授权代表签字：</w:t>
      </w:r>
    </w:p>
    <w:p>
      <w:pPr>
        <w:spacing w:line="360" w:lineRule="auto"/>
        <w:ind w:right="120" w:firstLine="5040" w:firstLineChars="2100"/>
        <w:jc w:val="left"/>
        <w:rPr>
          <w:rFonts w:ascii="仿宋" w:hAnsi="仿宋" w:eastAsia="仿宋"/>
          <w:sz w:val="24"/>
        </w:rPr>
      </w:pPr>
      <w:r>
        <w:rPr>
          <w:rFonts w:hint="eastAsia" w:ascii="仿宋" w:hAnsi="仿宋" w:eastAsia="仿宋"/>
          <w:sz w:val="24"/>
        </w:rPr>
        <w:t>投标人（盖章）：</w:t>
      </w:r>
    </w:p>
    <w:p>
      <w:pPr>
        <w:ind w:firstLine="5040" w:firstLineChars="2100"/>
      </w:pPr>
      <w:r>
        <w:rPr>
          <w:rFonts w:hint="eastAsia" w:ascii="仿宋" w:hAnsi="仿宋" w:eastAsia="仿宋"/>
          <w:sz w:val="24"/>
        </w:rPr>
        <w:t>2024</w:t>
      </w:r>
      <w:r>
        <w:rPr>
          <w:rFonts w:hint="eastAsia"/>
        </w:rPr>
        <w:t>年   月   日</w:t>
      </w:r>
    </w:p>
    <w:p>
      <w:pPr>
        <w:pStyle w:val="5"/>
      </w:pPr>
    </w:p>
    <w:sectPr>
      <w:pgSz w:w="11906" w:h="16838"/>
      <w:pgMar w:top="1134" w:right="1020" w:bottom="1134" w:left="1020"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B10AF"/>
    <w:multiLevelType w:val="singleLevel"/>
    <w:tmpl w:val="FD9B10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TcyMmZiMDk2YzJmNjU0Y2I1YzE5MTg1MjQ0OWQifQ=="/>
  </w:docVars>
  <w:rsids>
    <w:rsidRoot w:val="003021B3"/>
    <w:rsid w:val="0000054B"/>
    <w:rsid w:val="00004BC3"/>
    <w:rsid w:val="00016058"/>
    <w:rsid w:val="00017251"/>
    <w:rsid w:val="000274EC"/>
    <w:rsid w:val="00033134"/>
    <w:rsid w:val="00041704"/>
    <w:rsid w:val="00045A57"/>
    <w:rsid w:val="000529EB"/>
    <w:rsid w:val="00053765"/>
    <w:rsid w:val="00053FAA"/>
    <w:rsid w:val="00067F57"/>
    <w:rsid w:val="00070C1A"/>
    <w:rsid w:val="00071969"/>
    <w:rsid w:val="00073DA5"/>
    <w:rsid w:val="00074A37"/>
    <w:rsid w:val="00083BE2"/>
    <w:rsid w:val="000918EC"/>
    <w:rsid w:val="00095BE3"/>
    <w:rsid w:val="000A2632"/>
    <w:rsid w:val="000A4D90"/>
    <w:rsid w:val="000A5271"/>
    <w:rsid w:val="000A5287"/>
    <w:rsid w:val="000A550F"/>
    <w:rsid w:val="000A636C"/>
    <w:rsid w:val="000A7397"/>
    <w:rsid w:val="000B37C1"/>
    <w:rsid w:val="000B4F60"/>
    <w:rsid w:val="000B5C26"/>
    <w:rsid w:val="000B7057"/>
    <w:rsid w:val="000B741E"/>
    <w:rsid w:val="000C5428"/>
    <w:rsid w:val="000D295B"/>
    <w:rsid w:val="000E36C4"/>
    <w:rsid w:val="000E5186"/>
    <w:rsid w:val="000F611C"/>
    <w:rsid w:val="00103DF6"/>
    <w:rsid w:val="00103E96"/>
    <w:rsid w:val="00107645"/>
    <w:rsid w:val="00114986"/>
    <w:rsid w:val="00124959"/>
    <w:rsid w:val="0013413B"/>
    <w:rsid w:val="00142043"/>
    <w:rsid w:val="001424F5"/>
    <w:rsid w:val="00164D28"/>
    <w:rsid w:val="00170EF8"/>
    <w:rsid w:val="001758ED"/>
    <w:rsid w:val="00181813"/>
    <w:rsid w:val="001871BA"/>
    <w:rsid w:val="00196958"/>
    <w:rsid w:val="0019725C"/>
    <w:rsid w:val="001B65C1"/>
    <w:rsid w:val="001B6CE3"/>
    <w:rsid w:val="001C604E"/>
    <w:rsid w:val="001D1CA6"/>
    <w:rsid w:val="001F0AE2"/>
    <w:rsid w:val="001F18CA"/>
    <w:rsid w:val="001F56B0"/>
    <w:rsid w:val="00200CBC"/>
    <w:rsid w:val="00206928"/>
    <w:rsid w:val="00206BE9"/>
    <w:rsid w:val="00211618"/>
    <w:rsid w:val="002222D6"/>
    <w:rsid w:val="002323B0"/>
    <w:rsid w:val="00235100"/>
    <w:rsid w:val="00235FE7"/>
    <w:rsid w:val="00236A7F"/>
    <w:rsid w:val="00236F5F"/>
    <w:rsid w:val="002458CA"/>
    <w:rsid w:val="002468BA"/>
    <w:rsid w:val="00255EE9"/>
    <w:rsid w:val="00260836"/>
    <w:rsid w:val="0026371E"/>
    <w:rsid w:val="002670D9"/>
    <w:rsid w:val="00272ACA"/>
    <w:rsid w:val="00273490"/>
    <w:rsid w:val="00297367"/>
    <w:rsid w:val="002A4C53"/>
    <w:rsid w:val="002A6B23"/>
    <w:rsid w:val="002A7110"/>
    <w:rsid w:val="002B5C50"/>
    <w:rsid w:val="002C22FC"/>
    <w:rsid w:val="002C5B4A"/>
    <w:rsid w:val="002D47CE"/>
    <w:rsid w:val="002D47DD"/>
    <w:rsid w:val="002D5E52"/>
    <w:rsid w:val="002E558C"/>
    <w:rsid w:val="002F1D2C"/>
    <w:rsid w:val="003021B3"/>
    <w:rsid w:val="00312E86"/>
    <w:rsid w:val="003154AB"/>
    <w:rsid w:val="00316E95"/>
    <w:rsid w:val="00324436"/>
    <w:rsid w:val="003249F3"/>
    <w:rsid w:val="00331686"/>
    <w:rsid w:val="00342BB1"/>
    <w:rsid w:val="00354DFE"/>
    <w:rsid w:val="003674A5"/>
    <w:rsid w:val="00367BCF"/>
    <w:rsid w:val="003720F1"/>
    <w:rsid w:val="00384CBE"/>
    <w:rsid w:val="00385179"/>
    <w:rsid w:val="00387E0F"/>
    <w:rsid w:val="00390C90"/>
    <w:rsid w:val="00391C4B"/>
    <w:rsid w:val="00393E06"/>
    <w:rsid w:val="003B2A77"/>
    <w:rsid w:val="003B6995"/>
    <w:rsid w:val="003C19D7"/>
    <w:rsid w:val="003C2DA7"/>
    <w:rsid w:val="003E6487"/>
    <w:rsid w:val="00407F40"/>
    <w:rsid w:val="0041462C"/>
    <w:rsid w:val="00432D33"/>
    <w:rsid w:val="00433ED5"/>
    <w:rsid w:val="0043498D"/>
    <w:rsid w:val="004368C6"/>
    <w:rsid w:val="00441BE4"/>
    <w:rsid w:val="00460BD6"/>
    <w:rsid w:val="004749F2"/>
    <w:rsid w:val="004770CB"/>
    <w:rsid w:val="00483CE6"/>
    <w:rsid w:val="00485A07"/>
    <w:rsid w:val="00490B6F"/>
    <w:rsid w:val="00494C63"/>
    <w:rsid w:val="004A2667"/>
    <w:rsid w:val="004A56B6"/>
    <w:rsid w:val="004A758A"/>
    <w:rsid w:val="004B0ADF"/>
    <w:rsid w:val="004C1F18"/>
    <w:rsid w:val="004C72AD"/>
    <w:rsid w:val="004D1DF2"/>
    <w:rsid w:val="004E6DF2"/>
    <w:rsid w:val="004F36E3"/>
    <w:rsid w:val="00503C41"/>
    <w:rsid w:val="005269E8"/>
    <w:rsid w:val="00535608"/>
    <w:rsid w:val="00542203"/>
    <w:rsid w:val="00542BC8"/>
    <w:rsid w:val="0055543E"/>
    <w:rsid w:val="00566731"/>
    <w:rsid w:val="00572394"/>
    <w:rsid w:val="0058019E"/>
    <w:rsid w:val="0058789F"/>
    <w:rsid w:val="005930D7"/>
    <w:rsid w:val="00594E0A"/>
    <w:rsid w:val="005A1824"/>
    <w:rsid w:val="005A3E25"/>
    <w:rsid w:val="005B6575"/>
    <w:rsid w:val="005C1E82"/>
    <w:rsid w:val="005C3567"/>
    <w:rsid w:val="005C3D8C"/>
    <w:rsid w:val="005D04A6"/>
    <w:rsid w:val="005D553D"/>
    <w:rsid w:val="005D76A8"/>
    <w:rsid w:val="005E2BCB"/>
    <w:rsid w:val="005F005C"/>
    <w:rsid w:val="005F2C25"/>
    <w:rsid w:val="005F629A"/>
    <w:rsid w:val="005F62AB"/>
    <w:rsid w:val="005F6475"/>
    <w:rsid w:val="006003D1"/>
    <w:rsid w:val="00607785"/>
    <w:rsid w:val="00611B8C"/>
    <w:rsid w:val="00614DC6"/>
    <w:rsid w:val="00640E94"/>
    <w:rsid w:val="00646617"/>
    <w:rsid w:val="0066689D"/>
    <w:rsid w:val="00666CBF"/>
    <w:rsid w:val="00670E5E"/>
    <w:rsid w:val="00671345"/>
    <w:rsid w:val="0067278C"/>
    <w:rsid w:val="006727CA"/>
    <w:rsid w:val="00680592"/>
    <w:rsid w:val="006841CC"/>
    <w:rsid w:val="00686EBA"/>
    <w:rsid w:val="0069035B"/>
    <w:rsid w:val="00692B20"/>
    <w:rsid w:val="00696174"/>
    <w:rsid w:val="006A7822"/>
    <w:rsid w:val="006B62D4"/>
    <w:rsid w:val="006C1E8B"/>
    <w:rsid w:val="006C1EAD"/>
    <w:rsid w:val="006C48B4"/>
    <w:rsid w:val="006C4AEC"/>
    <w:rsid w:val="006C673A"/>
    <w:rsid w:val="006E4075"/>
    <w:rsid w:val="00704A2E"/>
    <w:rsid w:val="00707602"/>
    <w:rsid w:val="007128AE"/>
    <w:rsid w:val="007163A5"/>
    <w:rsid w:val="00720803"/>
    <w:rsid w:val="00732EF9"/>
    <w:rsid w:val="00735C38"/>
    <w:rsid w:val="00736AE9"/>
    <w:rsid w:val="00740808"/>
    <w:rsid w:val="00742BA7"/>
    <w:rsid w:val="00745CE3"/>
    <w:rsid w:val="007472C6"/>
    <w:rsid w:val="007502F8"/>
    <w:rsid w:val="00762744"/>
    <w:rsid w:val="00767AA4"/>
    <w:rsid w:val="0077285A"/>
    <w:rsid w:val="00776764"/>
    <w:rsid w:val="00777DF7"/>
    <w:rsid w:val="00792A46"/>
    <w:rsid w:val="00793139"/>
    <w:rsid w:val="007A360D"/>
    <w:rsid w:val="007B091D"/>
    <w:rsid w:val="007B12EB"/>
    <w:rsid w:val="007E1B1C"/>
    <w:rsid w:val="007E25CA"/>
    <w:rsid w:val="007E39F7"/>
    <w:rsid w:val="007E518B"/>
    <w:rsid w:val="007F358A"/>
    <w:rsid w:val="007F573C"/>
    <w:rsid w:val="007F6F3B"/>
    <w:rsid w:val="00817CF6"/>
    <w:rsid w:val="00821D13"/>
    <w:rsid w:val="0082407B"/>
    <w:rsid w:val="00833C37"/>
    <w:rsid w:val="0083698A"/>
    <w:rsid w:val="00844C36"/>
    <w:rsid w:val="00847624"/>
    <w:rsid w:val="00853385"/>
    <w:rsid w:val="00855F6E"/>
    <w:rsid w:val="00864C9B"/>
    <w:rsid w:val="00872B4B"/>
    <w:rsid w:val="008809F5"/>
    <w:rsid w:val="00896AD5"/>
    <w:rsid w:val="008A05B8"/>
    <w:rsid w:val="008A125F"/>
    <w:rsid w:val="008B6991"/>
    <w:rsid w:val="008C7B45"/>
    <w:rsid w:val="008D57C7"/>
    <w:rsid w:val="008D76CB"/>
    <w:rsid w:val="008E78EF"/>
    <w:rsid w:val="008F0A61"/>
    <w:rsid w:val="008F2A12"/>
    <w:rsid w:val="009021DC"/>
    <w:rsid w:val="00911A6E"/>
    <w:rsid w:val="0091390C"/>
    <w:rsid w:val="009142A2"/>
    <w:rsid w:val="00921322"/>
    <w:rsid w:val="009215E0"/>
    <w:rsid w:val="009218D7"/>
    <w:rsid w:val="00923F15"/>
    <w:rsid w:val="00931FB7"/>
    <w:rsid w:val="00931FE6"/>
    <w:rsid w:val="009325AD"/>
    <w:rsid w:val="009360BD"/>
    <w:rsid w:val="0094289E"/>
    <w:rsid w:val="009479F0"/>
    <w:rsid w:val="0095124F"/>
    <w:rsid w:val="009631C8"/>
    <w:rsid w:val="00966BDF"/>
    <w:rsid w:val="00981A82"/>
    <w:rsid w:val="00987EA8"/>
    <w:rsid w:val="00993F49"/>
    <w:rsid w:val="009A510E"/>
    <w:rsid w:val="009A6DB0"/>
    <w:rsid w:val="009A7962"/>
    <w:rsid w:val="009B02A9"/>
    <w:rsid w:val="009B2EAF"/>
    <w:rsid w:val="009B6DA6"/>
    <w:rsid w:val="009C1307"/>
    <w:rsid w:val="009C2C4C"/>
    <w:rsid w:val="009C72E0"/>
    <w:rsid w:val="009D2BF9"/>
    <w:rsid w:val="009D446B"/>
    <w:rsid w:val="009E20C0"/>
    <w:rsid w:val="009E2B7C"/>
    <w:rsid w:val="009E4658"/>
    <w:rsid w:val="009E5E8E"/>
    <w:rsid w:val="009F0D87"/>
    <w:rsid w:val="009F4AE8"/>
    <w:rsid w:val="00A36549"/>
    <w:rsid w:val="00A375C7"/>
    <w:rsid w:val="00A37B0D"/>
    <w:rsid w:val="00A42819"/>
    <w:rsid w:val="00A60C0E"/>
    <w:rsid w:val="00A6529F"/>
    <w:rsid w:val="00A66C3C"/>
    <w:rsid w:val="00A67D6C"/>
    <w:rsid w:val="00A714AC"/>
    <w:rsid w:val="00A767D7"/>
    <w:rsid w:val="00A85C38"/>
    <w:rsid w:val="00A8709D"/>
    <w:rsid w:val="00AA5D65"/>
    <w:rsid w:val="00AC513F"/>
    <w:rsid w:val="00AC57FC"/>
    <w:rsid w:val="00AD31DA"/>
    <w:rsid w:val="00AD439C"/>
    <w:rsid w:val="00AD6B82"/>
    <w:rsid w:val="00AE10F0"/>
    <w:rsid w:val="00AE3BD7"/>
    <w:rsid w:val="00AE3CAF"/>
    <w:rsid w:val="00AF122E"/>
    <w:rsid w:val="00AF2DAE"/>
    <w:rsid w:val="00B201AB"/>
    <w:rsid w:val="00B22246"/>
    <w:rsid w:val="00B22CE7"/>
    <w:rsid w:val="00B3627B"/>
    <w:rsid w:val="00B446D2"/>
    <w:rsid w:val="00B51E6F"/>
    <w:rsid w:val="00B60659"/>
    <w:rsid w:val="00B62EEC"/>
    <w:rsid w:val="00B64B62"/>
    <w:rsid w:val="00B67B3E"/>
    <w:rsid w:val="00B7454B"/>
    <w:rsid w:val="00B7490F"/>
    <w:rsid w:val="00B750AA"/>
    <w:rsid w:val="00B868CA"/>
    <w:rsid w:val="00B87935"/>
    <w:rsid w:val="00B94399"/>
    <w:rsid w:val="00BA05DE"/>
    <w:rsid w:val="00BA3BF8"/>
    <w:rsid w:val="00BB610A"/>
    <w:rsid w:val="00BB7733"/>
    <w:rsid w:val="00BC420C"/>
    <w:rsid w:val="00BD01BC"/>
    <w:rsid w:val="00BD115F"/>
    <w:rsid w:val="00BE1C15"/>
    <w:rsid w:val="00BE2CBE"/>
    <w:rsid w:val="00BF1298"/>
    <w:rsid w:val="00BF2C02"/>
    <w:rsid w:val="00BF650B"/>
    <w:rsid w:val="00C02326"/>
    <w:rsid w:val="00C0739F"/>
    <w:rsid w:val="00C113FC"/>
    <w:rsid w:val="00C1298A"/>
    <w:rsid w:val="00C1422E"/>
    <w:rsid w:val="00C142F6"/>
    <w:rsid w:val="00C2006F"/>
    <w:rsid w:val="00C234BB"/>
    <w:rsid w:val="00C238FB"/>
    <w:rsid w:val="00C4496D"/>
    <w:rsid w:val="00C45B1C"/>
    <w:rsid w:val="00C51B6C"/>
    <w:rsid w:val="00C51BFF"/>
    <w:rsid w:val="00C51ECD"/>
    <w:rsid w:val="00C555A3"/>
    <w:rsid w:val="00C64054"/>
    <w:rsid w:val="00C6760E"/>
    <w:rsid w:val="00C733FD"/>
    <w:rsid w:val="00C82125"/>
    <w:rsid w:val="00C85DA4"/>
    <w:rsid w:val="00C87338"/>
    <w:rsid w:val="00C91A67"/>
    <w:rsid w:val="00C9740E"/>
    <w:rsid w:val="00CA04EA"/>
    <w:rsid w:val="00CA0E12"/>
    <w:rsid w:val="00CB2B7F"/>
    <w:rsid w:val="00CB4182"/>
    <w:rsid w:val="00CB5A49"/>
    <w:rsid w:val="00CB6042"/>
    <w:rsid w:val="00CC2986"/>
    <w:rsid w:val="00CC66FE"/>
    <w:rsid w:val="00CC6A72"/>
    <w:rsid w:val="00CF4A13"/>
    <w:rsid w:val="00D115D0"/>
    <w:rsid w:val="00D14A54"/>
    <w:rsid w:val="00D24FB3"/>
    <w:rsid w:val="00D256F7"/>
    <w:rsid w:val="00D409C6"/>
    <w:rsid w:val="00D51646"/>
    <w:rsid w:val="00D5379A"/>
    <w:rsid w:val="00D56ED5"/>
    <w:rsid w:val="00D80D92"/>
    <w:rsid w:val="00D8779A"/>
    <w:rsid w:val="00DA5F78"/>
    <w:rsid w:val="00DA600B"/>
    <w:rsid w:val="00DA686E"/>
    <w:rsid w:val="00DB25AF"/>
    <w:rsid w:val="00DD4903"/>
    <w:rsid w:val="00DE0174"/>
    <w:rsid w:val="00DE0995"/>
    <w:rsid w:val="00DE3AF7"/>
    <w:rsid w:val="00DF48F9"/>
    <w:rsid w:val="00DF5FCF"/>
    <w:rsid w:val="00E02889"/>
    <w:rsid w:val="00E15D8A"/>
    <w:rsid w:val="00E16462"/>
    <w:rsid w:val="00E2416C"/>
    <w:rsid w:val="00E305F3"/>
    <w:rsid w:val="00E36285"/>
    <w:rsid w:val="00E467F1"/>
    <w:rsid w:val="00E61303"/>
    <w:rsid w:val="00E7387F"/>
    <w:rsid w:val="00E75E37"/>
    <w:rsid w:val="00E75EB9"/>
    <w:rsid w:val="00E81BA5"/>
    <w:rsid w:val="00E869AE"/>
    <w:rsid w:val="00E87AD0"/>
    <w:rsid w:val="00E94157"/>
    <w:rsid w:val="00E97897"/>
    <w:rsid w:val="00EA5ED5"/>
    <w:rsid w:val="00EA7D91"/>
    <w:rsid w:val="00EB032C"/>
    <w:rsid w:val="00EB0927"/>
    <w:rsid w:val="00EB298B"/>
    <w:rsid w:val="00EB321A"/>
    <w:rsid w:val="00EB4381"/>
    <w:rsid w:val="00EB6A0B"/>
    <w:rsid w:val="00EC14E2"/>
    <w:rsid w:val="00EC722D"/>
    <w:rsid w:val="00EC79EE"/>
    <w:rsid w:val="00ED111E"/>
    <w:rsid w:val="00ED2BB4"/>
    <w:rsid w:val="00EF738E"/>
    <w:rsid w:val="00F11988"/>
    <w:rsid w:val="00F2641B"/>
    <w:rsid w:val="00F26BB2"/>
    <w:rsid w:val="00F32C48"/>
    <w:rsid w:val="00F54AD8"/>
    <w:rsid w:val="00F66634"/>
    <w:rsid w:val="00F83187"/>
    <w:rsid w:val="00FA3255"/>
    <w:rsid w:val="00FA410B"/>
    <w:rsid w:val="00FA5BA2"/>
    <w:rsid w:val="00FA7ECF"/>
    <w:rsid w:val="00FB1E64"/>
    <w:rsid w:val="00FB5C19"/>
    <w:rsid w:val="00FB6783"/>
    <w:rsid w:val="00FC379E"/>
    <w:rsid w:val="00FC4D9D"/>
    <w:rsid w:val="00FD1507"/>
    <w:rsid w:val="00FD1F04"/>
    <w:rsid w:val="00FF654E"/>
    <w:rsid w:val="00FF76BD"/>
    <w:rsid w:val="0194449E"/>
    <w:rsid w:val="02253189"/>
    <w:rsid w:val="02291B0C"/>
    <w:rsid w:val="023B5846"/>
    <w:rsid w:val="033E16C0"/>
    <w:rsid w:val="03635531"/>
    <w:rsid w:val="041C05BB"/>
    <w:rsid w:val="04554790"/>
    <w:rsid w:val="04856475"/>
    <w:rsid w:val="04BE0603"/>
    <w:rsid w:val="04E1132E"/>
    <w:rsid w:val="06763694"/>
    <w:rsid w:val="07FF49AA"/>
    <w:rsid w:val="083258FA"/>
    <w:rsid w:val="093D6C97"/>
    <w:rsid w:val="0A404DE6"/>
    <w:rsid w:val="0AA72DDB"/>
    <w:rsid w:val="0CB23EC2"/>
    <w:rsid w:val="0D04425B"/>
    <w:rsid w:val="0D8D05D5"/>
    <w:rsid w:val="0E704CDD"/>
    <w:rsid w:val="0EDE3359"/>
    <w:rsid w:val="0FBE5373"/>
    <w:rsid w:val="111C745A"/>
    <w:rsid w:val="11721FDD"/>
    <w:rsid w:val="1190647B"/>
    <w:rsid w:val="12F31EF2"/>
    <w:rsid w:val="133A347D"/>
    <w:rsid w:val="139242E9"/>
    <w:rsid w:val="13A21851"/>
    <w:rsid w:val="143C2E54"/>
    <w:rsid w:val="14DE5154"/>
    <w:rsid w:val="14F90DB5"/>
    <w:rsid w:val="161A7DAE"/>
    <w:rsid w:val="17DF0739"/>
    <w:rsid w:val="180E5252"/>
    <w:rsid w:val="189F432A"/>
    <w:rsid w:val="19257662"/>
    <w:rsid w:val="195A0741"/>
    <w:rsid w:val="1A71293C"/>
    <w:rsid w:val="1C2E7B27"/>
    <w:rsid w:val="1C642F39"/>
    <w:rsid w:val="1D126DCC"/>
    <w:rsid w:val="1D3C5034"/>
    <w:rsid w:val="1F4633B6"/>
    <w:rsid w:val="1FDD1DEC"/>
    <w:rsid w:val="200126B1"/>
    <w:rsid w:val="22355B1C"/>
    <w:rsid w:val="22AE5EF6"/>
    <w:rsid w:val="22DD7FD0"/>
    <w:rsid w:val="25823B8B"/>
    <w:rsid w:val="2658485C"/>
    <w:rsid w:val="273267AE"/>
    <w:rsid w:val="28312778"/>
    <w:rsid w:val="289D78E7"/>
    <w:rsid w:val="29352AE1"/>
    <w:rsid w:val="2A0C39C4"/>
    <w:rsid w:val="2A5C6402"/>
    <w:rsid w:val="2CD62A7A"/>
    <w:rsid w:val="2D3E0BF0"/>
    <w:rsid w:val="2D885BE3"/>
    <w:rsid w:val="2DF239D1"/>
    <w:rsid w:val="2F183464"/>
    <w:rsid w:val="2FA37D62"/>
    <w:rsid w:val="3080083E"/>
    <w:rsid w:val="30CF63E4"/>
    <w:rsid w:val="31104361"/>
    <w:rsid w:val="319A7B95"/>
    <w:rsid w:val="325651D2"/>
    <w:rsid w:val="32883C32"/>
    <w:rsid w:val="33E82472"/>
    <w:rsid w:val="34CA09B9"/>
    <w:rsid w:val="35E957AA"/>
    <w:rsid w:val="365F59E0"/>
    <w:rsid w:val="367D6ADB"/>
    <w:rsid w:val="38206741"/>
    <w:rsid w:val="386623C6"/>
    <w:rsid w:val="38687442"/>
    <w:rsid w:val="395E1740"/>
    <w:rsid w:val="3B233FB1"/>
    <w:rsid w:val="3C1C5C1D"/>
    <w:rsid w:val="3E236A2A"/>
    <w:rsid w:val="3E3901C8"/>
    <w:rsid w:val="3EF25A44"/>
    <w:rsid w:val="3F83384A"/>
    <w:rsid w:val="42292600"/>
    <w:rsid w:val="430943F2"/>
    <w:rsid w:val="444F07B9"/>
    <w:rsid w:val="44AF77AE"/>
    <w:rsid w:val="45070659"/>
    <w:rsid w:val="4554739E"/>
    <w:rsid w:val="47C15E0F"/>
    <w:rsid w:val="488976ED"/>
    <w:rsid w:val="48E61849"/>
    <w:rsid w:val="48F57FE5"/>
    <w:rsid w:val="4925491A"/>
    <w:rsid w:val="49BFFC57"/>
    <w:rsid w:val="4A5123EB"/>
    <w:rsid w:val="4A7E5397"/>
    <w:rsid w:val="4C277E96"/>
    <w:rsid w:val="4D496342"/>
    <w:rsid w:val="4EFF0C80"/>
    <w:rsid w:val="51120FA7"/>
    <w:rsid w:val="51935DFF"/>
    <w:rsid w:val="519F0F3D"/>
    <w:rsid w:val="51DC4E1F"/>
    <w:rsid w:val="51E729F4"/>
    <w:rsid w:val="52290DE8"/>
    <w:rsid w:val="54474C11"/>
    <w:rsid w:val="5510702B"/>
    <w:rsid w:val="56F207E7"/>
    <w:rsid w:val="56FD7D23"/>
    <w:rsid w:val="576846E9"/>
    <w:rsid w:val="57F90557"/>
    <w:rsid w:val="59D82B5A"/>
    <w:rsid w:val="5A4C6962"/>
    <w:rsid w:val="5A6D5DB8"/>
    <w:rsid w:val="5B0028D0"/>
    <w:rsid w:val="5BA56767"/>
    <w:rsid w:val="5C317C44"/>
    <w:rsid w:val="5C4F69D3"/>
    <w:rsid w:val="5D4C51B4"/>
    <w:rsid w:val="5E5643D0"/>
    <w:rsid w:val="603612D4"/>
    <w:rsid w:val="60655C70"/>
    <w:rsid w:val="61026C5E"/>
    <w:rsid w:val="614E25DE"/>
    <w:rsid w:val="61981217"/>
    <w:rsid w:val="6354294F"/>
    <w:rsid w:val="63753E82"/>
    <w:rsid w:val="63D70224"/>
    <w:rsid w:val="64061022"/>
    <w:rsid w:val="645B1373"/>
    <w:rsid w:val="64F32B07"/>
    <w:rsid w:val="673B45A6"/>
    <w:rsid w:val="685271EB"/>
    <w:rsid w:val="69C4036C"/>
    <w:rsid w:val="6AB20490"/>
    <w:rsid w:val="6B223264"/>
    <w:rsid w:val="6B936C40"/>
    <w:rsid w:val="6BE33577"/>
    <w:rsid w:val="6C1902DF"/>
    <w:rsid w:val="6C1B5C84"/>
    <w:rsid w:val="6D491B4B"/>
    <w:rsid w:val="6D4B3F62"/>
    <w:rsid w:val="6FE21E08"/>
    <w:rsid w:val="708102F6"/>
    <w:rsid w:val="711A6DEF"/>
    <w:rsid w:val="71D716EC"/>
    <w:rsid w:val="71E2193F"/>
    <w:rsid w:val="727260AA"/>
    <w:rsid w:val="72761988"/>
    <w:rsid w:val="73315FFB"/>
    <w:rsid w:val="73C0648F"/>
    <w:rsid w:val="73DD7AEB"/>
    <w:rsid w:val="74DC0DB8"/>
    <w:rsid w:val="76D52313"/>
    <w:rsid w:val="7716637C"/>
    <w:rsid w:val="77572FC9"/>
    <w:rsid w:val="777B50F3"/>
    <w:rsid w:val="77FC605F"/>
    <w:rsid w:val="79A25F21"/>
    <w:rsid w:val="79EA4484"/>
    <w:rsid w:val="7A4963D7"/>
    <w:rsid w:val="7ADC497B"/>
    <w:rsid w:val="7B56228A"/>
    <w:rsid w:val="7CE74AAA"/>
    <w:rsid w:val="7D6F26C1"/>
    <w:rsid w:val="7EED217B"/>
    <w:rsid w:val="7F0C2938"/>
    <w:rsid w:val="7F954407"/>
    <w:rsid w:val="7FAB23FC"/>
    <w:rsid w:val="7FADC4D4"/>
    <w:rsid w:val="BFF93F7F"/>
    <w:rsid w:val="F17FB2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540"/>
    </w:pPr>
    <w:rPr>
      <w:sz w:val="28"/>
      <w:szCs w:val="20"/>
    </w:rPr>
  </w:style>
  <w:style w:type="paragraph" w:styleId="4">
    <w:name w:val="annotation text"/>
    <w:basedOn w:val="1"/>
    <w:semiHidden/>
    <w:unhideWhenUsed/>
    <w:qFormat/>
    <w:uiPriority w:val="99"/>
    <w:pPr>
      <w:jc w:val="left"/>
    </w:pPr>
  </w:style>
  <w:style w:type="paragraph" w:styleId="5">
    <w:name w:val="Body Text"/>
    <w:basedOn w:val="1"/>
    <w:semiHidden/>
    <w:unhideWhenUsed/>
    <w:qFormat/>
    <w:uiPriority w:val="99"/>
    <w:pPr>
      <w:spacing w:after="120"/>
    </w:pPr>
  </w:style>
  <w:style w:type="paragraph" w:styleId="6">
    <w:name w:val="Body Text Indent 2"/>
    <w:basedOn w:val="1"/>
    <w:link w:val="19"/>
    <w:qFormat/>
    <w:uiPriority w:val="99"/>
    <w:pPr>
      <w:spacing w:after="120" w:line="480" w:lineRule="auto"/>
      <w:ind w:left="420" w:leftChars="200"/>
    </w:pPr>
    <w:rPr>
      <w:rFonts w:ascii="Calibri" w:hAnsi="Calibri"/>
      <w:kern w:val="0"/>
      <w:sz w:val="20"/>
    </w:rPr>
  </w:style>
  <w:style w:type="paragraph" w:styleId="7">
    <w:name w:val="Balloon Text"/>
    <w:basedOn w:val="1"/>
    <w:link w:val="20"/>
    <w:semiHidden/>
    <w:qFormat/>
    <w:uiPriority w:val="99"/>
    <w:rPr>
      <w:sz w:val="18"/>
      <w:szCs w:val="18"/>
    </w:rPr>
  </w:style>
  <w:style w:type="paragraph" w:styleId="8">
    <w:name w:val="footer"/>
    <w:basedOn w:val="1"/>
    <w:link w:val="21"/>
    <w:semiHidden/>
    <w:qFormat/>
    <w:uiPriority w:val="99"/>
    <w:pPr>
      <w:tabs>
        <w:tab w:val="center" w:pos="4153"/>
        <w:tab w:val="right" w:pos="8306"/>
      </w:tabs>
      <w:snapToGrid w:val="0"/>
      <w:jc w:val="left"/>
    </w:pPr>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locked/>
    <w:uiPriority w:val="0"/>
    <w:rPr>
      <w:b/>
    </w:rPr>
  </w:style>
  <w:style w:type="character" w:styleId="15">
    <w:name w:val="FollowedHyperlink"/>
    <w:basedOn w:val="13"/>
    <w:semiHidden/>
    <w:unhideWhenUsed/>
    <w:qFormat/>
    <w:uiPriority w:val="99"/>
    <w:rPr>
      <w:color w:val="800080"/>
      <w:u w:val="single"/>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Char"/>
    <w:basedOn w:val="13"/>
    <w:link w:val="3"/>
    <w:qFormat/>
    <w:locked/>
    <w:uiPriority w:val="99"/>
    <w:rPr>
      <w:rFonts w:ascii="宋体" w:hAnsi="宋体" w:eastAsia="宋体" w:cs="宋体"/>
      <w:b/>
      <w:bCs/>
      <w:kern w:val="36"/>
      <w:sz w:val="48"/>
      <w:szCs w:val="48"/>
    </w:rPr>
  </w:style>
  <w:style w:type="character" w:customStyle="1" w:styleId="19">
    <w:name w:val="正文文本缩进 2 Char1"/>
    <w:basedOn w:val="13"/>
    <w:link w:val="6"/>
    <w:qFormat/>
    <w:locked/>
    <w:uiPriority w:val="99"/>
    <w:rPr>
      <w:rFonts w:ascii="Calibri" w:hAnsi="Calibri" w:eastAsia="宋体"/>
      <w:sz w:val="24"/>
    </w:rPr>
  </w:style>
  <w:style w:type="character" w:customStyle="1" w:styleId="20">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1">
    <w:name w:val="页脚 Char"/>
    <w:basedOn w:val="13"/>
    <w:link w:val="8"/>
    <w:semiHidden/>
    <w:qFormat/>
    <w:locked/>
    <w:uiPriority w:val="99"/>
    <w:rPr>
      <w:rFonts w:cs="Times New Roman"/>
      <w:sz w:val="18"/>
      <w:szCs w:val="18"/>
    </w:rPr>
  </w:style>
  <w:style w:type="character" w:customStyle="1" w:styleId="22">
    <w:name w:val="页眉 Char"/>
    <w:basedOn w:val="13"/>
    <w:link w:val="9"/>
    <w:semiHidden/>
    <w:qFormat/>
    <w:locked/>
    <w:uiPriority w:val="99"/>
    <w:rPr>
      <w:rFonts w:cs="Times New Roman"/>
      <w:sz w:val="18"/>
      <w:szCs w:val="18"/>
    </w:rPr>
  </w:style>
  <w:style w:type="paragraph" w:styleId="23">
    <w:name w:val="List Paragraph"/>
    <w:basedOn w:val="1"/>
    <w:qFormat/>
    <w:uiPriority w:val="34"/>
    <w:pPr>
      <w:ind w:firstLine="420" w:firstLineChars="200"/>
    </w:pPr>
    <w:rPr>
      <w:rFonts w:ascii="Calibri" w:hAnsi="Calibri"/>
      <w:szCs w:val="22"/>
    </w:rPr>
  </w:style>
  <w:style w:type="character" w:customStyle="1" w:styleId="24">
    <w:name w:val="正文文本缩进 2 Char"/>
    <w:basedOn w:val="13"/>
    <w:semiHidden/>
    <w:qFormat/>
    <w:uiPriority w:val="99"/>
    <w:rPr>
      <w:rFonts w:ascii="Times New Roman" w:hAnsi="Times New Roman" w:eastAsia="宋体" w:cs="Times New Roman"/>
      <w:sz w:val="24"/>
      <w:szCs w:val="24"/>
    </w:rPr>
  </w:style>
  <w:style w:type="character" w:customStyle="1" w:styleId="25">
    <w:name w:val="font31"/>
    <w:basedOn w:val="13"/>
    <w:qFormat/>
    <w:uiPriority w:val="0"/>
    <w:rPr>
      <w:rFonts w:hint="eastAsia" w:ascii="宋体" w:hAnsi="宋体" w:eastAsia="宋体" w:cs="宋体"/>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2"/>
      <w:szCs w:val="22"/>
      <w:u w:val="none"/>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8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9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10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
    <w:name w:val="Table Paragraph"/>
    <w:basedOn w:val="1"/>
    <w:qFormat/>
    <w:uiPriority w:val="1"/>
    <w:rPr>
      <w:rFonts w:ascii="宋体" w:hAnsi="宋体" w:cs="宋体"/>
      <w:lang w:val="zh-CN" w:bidi="zh-CN"/>
    </w:rPr>
  </w:style>
  <w:style w:type="character" w:customStyle="1" w:styleId="55">
    <w:name w:val="font41"/>
    <w:basedOn w:val="13"/>
    <w:qFormat/>
    <w:uiPriority w:val="0"/>
    <w:rPr>
      <w:rFonts w:hint="eastAsia" w:ascii="黑体" w:hAnsi="宋体" w:eastAsia="黑体" w:cs="黑体"/>
      <w:color w:val="000000"/>
      <w:sz w:val="28"/>
      <w:szCs w:val="28"/>
      <w:u w:val="none"/>
    </w:rPr>
  </w:style>
  <w:style w:type="character" w:customStyle="1" w:styleId="56">
    <w:name w:val="font21"/>
    <w:basedOn w:val="13"/>
    <w:qFormat/>
    <w:uiPriority w:val="0"/>
    <w:rPr>
      <w:rFonts w:hint="eastAsia" w:ascii="黑体" w:hAnsi="宋体" w:eastAsia="黑体" w:cs="黑体"/>
      <w:b/>
      <w:bCs/>
      <w:color w:val="000000"/>
      <w:sz w:val="28"/>
      <w:szCs w:val="28"/>
      <w:u w:val="none"/>
    </w:rPr>
  </w:style>
  <w:style w:type="character" w:customStyle="1" w:styleId="57">
    <w:name w:val="font61"/>
    <w:basedOn w:val="13"/>
    <w:qFormat/>
    <w:uiPriority w:val="0"/>
    <w:rPr>
      <w:rFonts w:hint="default" w:ascii="Times New Roman" w:hAnsi="Times New Roman" w:cs="Times New Roman"/>
      <w:color w:val="000000"/>
      <w:sz w:val="20"/>
      <w:szCs w:val="20"/>
      <w:u w:val="none"/>
    </w:rPr>
  </w:style>
  <w:style w:type="character" w:customStyle="1" w:styleId="58">
    <w:name w:val="font51"/>
    <w:basedOn w:val="13"/>
    <w:qFormat/>
    <w:uiPriority w:val="0"/>
    <w:rPr>
      <w:rFonts w:hint="default" w:ascii="Times New Roman" w:hAnsi="Times New Roman" w:cs="Times New Roman"/>
      <w:color w:val="000000"/>
      <w:sz w:val="20"/>
      <w:szCs w:val="20"/>
      <w:u w:val="none"/>
    </w:rPr>
  </w:style>
  <w:style w:type="character" w:customStyle="1" w:styleId="59">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9562</Words>
  <Characters>11518</Characters>
  <Lines>89</Lines>
  <Paragraphs>25</Paragraphs>
  <TotalTime>102</TotalTime>
  <ScaleCrop>false</ScaleCrop>
  <LinksUpToDate>false</LinksUpToDate>
  <CharactersWithSpaces>11798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2024-04-15T10:02:00Z</dcterms:created>
  <dc:creator>admin</dc:creator>
  <cp:lastModifiedBy>叫我小强好了</cp:lastModifiedBy>
  <cp:lastPrinted>2023-05-29T10:19:00Z</cp:lastPrinted>
  <dcterms:modified xsi:type="dcterms:W3CDTF">2024-06-11T00:20:31Z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F06CE336E78D4865A818CC6B09C3C8A7</vt:lpwstr>
  </property>
</Properties>
</file>