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湖州师范学院养殖水质监测与基础实验室仪器采购项目询价文件</w:t>
      </w:r>
    </w:p>
    <w:p>
      <w:pPr>
        <w:rPr>
          <w:rFonts w:ascii="仿宋" w:hAnsi="仿宋" w:eastAsia="仿宋" w:cs="仿宋_GB2312"/>
          <w:b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</w:rPr>
        <w:t>湖州师范学院养殖水质监测与基础实验室仪器采购项目</w:t>
      </w:r>
    </w:p>
    <w:p>
      <w:pPr>
        <w:ind w:firstLine="482" w:firstLineChars="200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</w:rPr>
        <w:t>XZ2022-0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90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采购预算：</w:t>
      </w:r>
      <w:r>
        <w:rPr>
          <w:rFonts w:hint="eastAsia" w:ascii="仿宋" w:hAnsi="仿宋" w:eastAsia="仿宋" w:cs="仿宋_GB2312"/>
          <w:b/>
          <w:color w:val="auto"/>
          <w:sz w:val="24"/>
          <w:lang w:eastAsia="zh-CN"/>
        </w:rPr>
        <w:t>人民币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壹拾伍万元整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000元）</w:t>
      </w:r>
    </w:p>
    <w:p>
      <w:pPr>
        <w:ind w:firstLine="482" w:firstLineChars="200"/>
        <w:rPr>
          <w:rFonts w:hint="eastAsia"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技术</w:t>
      </w:r>
      <w:r>
        <w:rPr>
          <w:rFonts w:hint="eastAsia" w:ascii="仿宋" w:hAnsi="仿宋" w:eastAsia="仿宋" w:cs="仿宋_GB2312"/>
          <w:color w:val="auto"/>
          <w:sz w:val="24"/>
        </w:rPr>
        <w:t>参数、数量、单位等）：</w:t>
      </w:r>
    </w:p>
    <w:tbl>
      <w:tblPr>
        <w:tblStyle w:val="10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27"/>
        <w:gridCol w:w="3851"/>
        <w:gridCol w:w="668"/>
        <w:gridCol w:w="673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6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序号</w:t>
            </w:r>
          </w:p>
        </w:tc>
        <w:tc>
          <w:tcPr>
            <w:tcW w:w="927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名称</w:t>
            </w:r>
          </w:p>
        </w:tc>
        <w:tc>
          <w:tcPr>
            <w:tcW w:w="3851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技术参数</w:t>
            </w:r>
          </w:p>
        </w:tc>
        <w:tc>
          <w:tcPr>
            <w:tcW w:w="668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673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单位</w:t>
            </w:r>
          </w:p>
        </w:tc>
        <w:tc>
          <w:tcPr>
            <w:tcW w:w="1254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56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240" w:lineRule="auto"/>
              <w:jc w:val="left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240" w:lineRule="auto"/>
              <w:jc w:val="left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/>
                <w:color w:val="auto"/>
                <w:sz w:val="24"/>
                <w:szCs w:val="24"/>
              </w:rPr>
              <w:t>全能型薄层色谱扫描仪</w:t>
            </w:r>
          </w:p>
        </w:tc>
        <w:tc>
          <w:tcPr>
            <w:tcW w:w="385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仪器组成：1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主机（含光源、光栅单色仪、移动平台、USB串口）；2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Tstar-3000Plus专业薄层中药工作软件；3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计算机系统一套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仪器性能指标： *1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测量方式：反射吸收法、透射吸收法、荧光法； *2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光谱范围：190nm~900nm（连续可调）； 3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光源：卤钨灯、氘灯、汞灯（自动切换）； 4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单色器：全息光栅（1200线/mm）； 5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光谱带宽：5nm、10nm、20nm可选，标配（10nm）；6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波长准确度：±0.5nm；波长重现性：优于0.1nm；7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最小位移分辨率为：10~50μm；8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测量平台：可放200mm×200mm色谱板（可定制300×200mm色谱板）； 9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扫描速度：0~120mm/s；10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数模转换：24位A/D，八通道，20μs、2次转换；*11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滤光片：K320、K360、K400、K450、K510、K550为标配，8个滤光片位置，其他滤光片波长可定制；12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狭缝尺寸：长0-8mm、宽度0-4mm；13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数据采集：数据采集速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度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30000DPS，数据传输：2000000baud；14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扫描方式：线性扫描；15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操作系统：WIN7/8/10；16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电源接口：USB接口 220V300W；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专业薄层中药工作站功能：1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薄层色谱扫描软件：包括单波长、双波长、光谱扫描功能；2</w:t>
            </w: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可计算峰高、峰宽、峰面积、Rf值、含量比例、RSD值；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加*参数为重要参数，不可偏离</w:t>
            </w:r>
          </w:p>
        </w:tc>
        <w:tc>
          <w:tcPr>
            <w:tcW w:w="6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54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240" w:lineRule="auto"/>
              <w:jc w:val="left"/>
              <w:rPr>
                <w:rFonts w:hint="eastAsia" w:ascii="仿宋" w:hAnsi="仿宋" w:eastAsia="仿宋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z w:val="24"/>
                <w:szCs w:val="24"/>
              </w:rPr>
              <w:t>人民币：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FF"/>
                <w:spacing w:val="0"/>
                <w:sz w:val="24"/>
                <w:szCs w:val="24"/>
                <w:shd w:val="clear" w:fill="FFFFFF"/>
              </w:rPr>
              <w:t>壹拾伍万元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整（￥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000元）</w:t>
            </w:r>
          </w:p>
        </w:tc>
      </w:tr>
    </w:tbl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注：</w:t>
      </w:r>
      <w:r>
        <w:rPr>
          <w:rFonts w:ascii="仿宋" w:hAnsi="仿宋" w:eastAsia="仿宋"/>
          <w:b/>
          <w:color w:val="auto"/>
          <w:szCs w:val="21"/>
        </w:rPr>
        <w:t>1</w:t>
      </w:r>
      <w:r>
        <w:rPr>
          <w:rFonts w:hint="eastAsia" w:ascii="仿宋" w:hAnsi="仿宋" w:eastAsia="仿宋"/>
          <w:b/>
          <w:color w:val="auto"/>
          <w:szCs w:val="21"/>
        </w:rPr>
        <w:t>、以上采购预算包</w:t>
      </w:r>
      <w:r>
        <w:rPr>
          <w:rFonts w:hint="eastAsia" w:ascii="仿宋" w:hAnsi="仿宋" w:eastAsia="仿宋" w:cs="仿宋_GB2312"/>
          <w:b/>
          <w:color w:val="auto"/>
          <w:szCs w:val="21"/>
        </w:rPr>
        <w:t xml:space="preserve">含货物费、辅材辅料费、安装调试费、税费等全部费用在内。   </w:t>
      </w:r>
    </w:p>
    <w:p>
      <w:pPr>
        <w:ind w:firstLine="843" w:firstLineChars="400"/>
        <w:rPr>
          <w:rFonts w:ascii="仿宋" w:hAnsi="仿宋" w:eastAsia="仿宋"/>
          <w:b/>
          <w:color w:val="auto"/>
          <w:szCs w:val="21"/>
        </w:rPr>
      </w:pPr>
      <w:r>
        <w:rPr>
          <w:rFonts w:ascii="仿宋" w:hAnsi="仿宋" w:eastAsia="仿宋"/>
          <w:b/>
          <w:color w:val="auto"/>
          <w:szCs w:val="21"/>
        </w:rPr>
        <w:t>2</w:t>
      </w:r>
      <w:r>
        <w:rPr>
          <w:rFonts w:hint="eastAsia" w:ascii="仿宋" w:hAnsi="仿宋" w:eastAsia="仿宋"/>
          <w:b/>
          <w:color w:val="auto"/>
          <w:szCs w:val="21"/>
        </w:rPr>
        <w:t>、</w:t>
      </w:r>
      <w:r>
        <w:rPr>
          <w:rFonts w:hint="eastAsia" w:ascii="仿宋" w:hAnsi="仿宋" w:eastAsia="仿宋" w:cs="仿宋_GB2312"/>
          <w:b/>
          <w:color w:val="auto"/>
          <w:szCs w:val="21"/>
        </w:rPr>
        <w:t>投标人须响应或优于规格参数要求，可从推荐品牌中确认一个品牌作为投标品牌</w:t>
      </w:r>
      <w:r>
        <w:rPr>
          <w:rFonts w:hint="eastAsia" w:ascii="仿宋" w:hAnsi="仿宋" w:eastAsia="仿宋"/>
          <w:b/>
          <w:color w:val="auto"/>
          <w:szCs w:val="21"/>
        </w:rPr>
        <w:t xml:space="preserve">。     </w:t>
      </w:r>
    </w:p>
    <w:p>
      <w:pPr>
        <w:ind w:firstLine="472" w:firstLineChars="196"/>
        <w:rPr>
          <w:rFonts w:hint="eastAsia" w:ascii="仿宋" w:hAnsi="仿宋" w:eastAsia="仿宋"/>
          <w:b/>
          <w:bCs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含货物费、辅材辅料费、安装调试费、税费等全部费用。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有效的营业执照副本复印件、税务登记证副本复印件；或“三证合一”营业执照副本复印件；或“五证合一”营业执照副本复印件；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5.</w:t>
      </w:r>
      <w:r>
        <w:rPr>
          <w:rFonts w:hint="eastAsia" w:ascii="仿宋" w:hAnsi="仿宋" w:eastAsia="仿宋"/>
          <w:color w:val="auto"/>
          <w:sz w:val="24"/>
        </w:rPr>
        <w:t>投标产品技术参数响应表</w:t>
      </w:r>
      <w:r>
        <w:rPr>
          <w:rFonts w:hint="eastAsia" w:ascii="仿宋" w:hAnsi="仿宋" w:eastAsia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_GB2312"/>
          <w:color w:val="auto"/>
          <w:sz w:val="24"/>
        </w:rPr>
        <w:t>注明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响应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技术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参数及偏离情况</w:t>
      </w:r>
      <w:r>
        <w:rPr>
          <w:rFonts w:hint="eastAsia" w:ascii="仿宋" w:hAnsi="仿宋" w:eastAsia="仿宋" w:cs="仿宋_GB2312"/>
          <w:color w:val="auto"/>
          <w:sz w:val="24"/>
        </w:rPr>
        <w:t>（正偏离、负偏离、无偏离），如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为</w:t>
      </w:r>
      <w:r>
        <w:rPr>
          <w:rFonts w:hint="eastAsia" w:ascii="仿宋" w:hAnsi="仿宋" w:eastAsia="仿宋" w:cs="仿宋_GB2312"/>
          <w:color w:val="auto"/>
          <w:sz w:val="24"/>
        </w:rPr>
        <w:t>“负偏离”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或提供产品技术参数经判断与产品品牌型号不符的，</w:t>
      </w:r>
      <w:r>
        <w:rPr>
          <w:rFonts w:hint="eastAsia" w:ascii="仿宋" w:hAnsi="仿宋" w:eastAsia="仿宋" w:cs="仿宋_GB2312"/>
          <w:color w:val="auto"/>
          <w:sz w:val="24"/>
        </w:rPr>
        <w:t>即作无效标处理</w:t>
      </w:r>
      <w:r>
        <w:rPr>
          <w:rFonts w:hint="eastAsia" w:ascii="仿宋" w:hAnsi="仿宋" w:eastAsia="仿宋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;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6.投标产品质</w:t>
      </w:r>
      <w:r>
        <w:rPr>
          <w:rFonts w:hint="eastAsia" w:ascii="仿宋" w:hAnsi="仿宋" w:eastAsia="仿宋"/>
          <w:color w:val="auto"/>
          <w:sz w:val="24"/>
        </w:rPr>
        <w:t>量及售后服务承诺书；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</w:rPr>
        <w:t>.提供自采购公告发布之日起至开标截止时间止的“信用中国”网站（www.creditchina.gov.cn）、中国政府采购网（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8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（采购需求清单中要求提供的材料，投标人认为需要提供的材料等）</w:t>
      </w:r>
      <w:r>
        <w:rPr>
          <w:rFonts w:hint="eastAsia" w:ascii="仿宋" w:hAnsi="仿宋" w:eastAsia="仿宋" w:cs="仿宋_GB2312"/>
          <w:color w:val="auto"/>
          <w:sz w:val="24"/>
        </w:rPr>
        <w:t>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</w:rPr>
        <w:t>2023年6月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  <w:lang w:val="en-US" w:eastAsia="zh-CN"/>
        </w:rPr>
        <w:t>28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</w:rPr>
        <w:t>日1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</w:rPr>
        <w:t>:30；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</w:t>
      </w:r>
      <w:r>
        <w:rPr>
          <w:rFonts w:hint="eastAsia" w:ascii="仿宋" w:hAnsi="仿宋" w:eastAsia="仿宋"/>
          <w:color w:val="auto"/>
          <w:sz w:val="24"/>
          <w:lang w:eastAsia="zh-CN"/>
        </w:rPr>
        <w:t>徐</w:t>
      </w:r>
      <w:r>
        <w:rPr>
          <w:rFonts w:hint="eastAsia" w:ascii="仿宋" w:hAnsi="仿宋" w:eastAsia="仿宋"/>
          <w:color w:val="auto"/>
          <w:sz w:val="24"/>
        </w:rPr>
        <w:t>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60</w:t>
      </w:r>
      <w:r>
        <w:rPr>
          <w:rFonts w:hint="eastAsia" w:ascii="仿宋" w:hAnsi="仿宋" w:eastAsia="仿宋"/>
          <w:bCs/>
          <w:color w:val="auto"/>
          <w:sz w:val="24"/>
        </w:rPr>
        <w:t>日内完成安装调试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自验收合格之日起，所有产品提供</w:t>
      </w:r>
      <w:r>
        <w:rPr>
          <w:rFonts w:hint="eastAsia" w:ascii="仿宋" w:hAnsi="仿宋" w:eastAsia="仿宋"/>
          <w:bCs/>
          <w:color w:val="0000FF"/>
          <w:sz w:val="24"/>
        </w:rPr>
        <w:t>1</w:t>
      </w:r>
      <w:r>
        <w:rPr>
          <w:rFonts w:hint="eastAsia" w:ascii="仿宋" w:hAnsi="仿宋" w:eastAsia="仿宋"/>
          <w:bCs/>
          <w:color w:val="auto"/>
          <w:sz w:val="24"/>
        </w:rPr>
        <w:t>年质保期</w:t>
      </w:r>
      <w:r>
        <w:rPr>
          <w:rFonts w:hint="eastAsia" w:ascii="仿宋" w:hAnsi="仿宋" w:eastAsia="仿宋"/>
          <w:color w:val="auto"/>
          <w:sz w:val="24"/>
        </w:rPr>
        <w:t>，质保期内器材出现故障，中标人应在</w:t>
      </w:r>
      <w:r>
        <w:rPr>
          <w:rFonts w:hint="eastAsia" w:ascii="仿宋" w:hAnsi="仿宋" w:eastAsia="仿宋" w:cs="仿宋"/>
          <w:color w:val="auto"/>
          <w:sz w:val="24"/>
        </w:rPr>
        <w:t>接到器材故障报修请求后，于30分钟内响应，2 小时内提出解决方案，</w:t>
      </w:r>
      <w:r>
        <w:rPr>
          <w:rFonts w:hint="eastAsia" w:ascii="仿宋" w:hAnsi="仿宋" w:eastAsia="仿宋"/>
          <w:color w:val="auto"/>
          <w:sz w:val="24"/>
        </w:rPr>
        <w:t>24小时内完成免费维修或72小时内完成更换。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yellow"/>
        </w:rPr>
      </w:pPr>
      <w:r>
        <w:rPr>
          <w:rFonts w:hint="eastAsia" w:ascii="仿宋" w:hAnsi="仿宋" w:eastAsia="仿宋"/>
          <w:b/>
          <w:color w:val="auto"/>
          <w:sz w:val="24"/>
        </w:rPr>
        <w:t>2023年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4"/>
        </w:rPr>
        <w:t>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20</w:t>
      </w:r>
      <w:r>
        <w:rPr>
          <w:rFonts w:hint="eastAsia" w:ascii="仿宋" w:hAnsi="仿宋" w:eastAsia="仿宋"/>
          <w:b/>
          <w:color w:val="auto"/>
          <w:sz w:val="24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湖州师范学院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</w:rPr>
        <w:t>养殖水质监测与基础实验室仪器</w:t>
      </w:r>
      <w:r>
        <w:rPr>
          <w:rFonts w:hint="eastAsia" w:ascii="仿宋" w:hAnsi="仿宋" w:eastAsia="仿宋" w:cs="宋体"/>
          <w:color w:val="auto"/>
          <w:kern w:val="0"/>
          <w:sz w:val="24"/>
        </w:rPr>
        <w:t>采购项目</w:t>
      </w:r>
    </w:p>
    <w:p>
      <w:pPr>
        <w:spacing w:line="340" w:lineRule="exact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XZ2023-0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90</w:t>
      </w:r>
    </w:p>
    <w:tbl>
      <w:tblPr>
        <w:tblStyle w:val="9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558"/>
        <w:gridCol w:w="2265"/>
        <w:gridCol w:w="750"/>
        <w:gridCol w:w="735"/>
        <w:gridCol w:w="1335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名称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投标品牌型号</w:t>
            </w: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数量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投标单价（元）</w:t>
            </w: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投标总价（元）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508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558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全能型薄</w:t>
            </w:r>
            <w:r>
              <w:rPr>
                <w:rFonts w:hint="eastAsia" w:ascii="仿宋" w:hAnsi="仿宋" w:eastAsia="仿宋"/>
                <w:color w:val="auto"/>
                <w:kern w:val="2"/>
                <w:lang w:val="en-US" w:eastAsia="zh-CN"/>
              </w:rPr>
              <w:t>层</w:t>
            </w:r>
            <w:r>
              <w:rPr>
                <w:rFonts w:hint="eastAsia" w:ascii="仿宋" w:hAnsi="仿宋" w:eastAsia="仿宋"/>
                <w:color w:val="auto"/>
                <w:kern w:val="2"/>
              </w:rPr>
              <w:t>色谱扫描仪</w:t>
            </w:r>
          </w:p>
        </w:tc>
        <w:tc>
          <w:tcPr>
            <w:tcW w:w="2265" w:type="dxa"/>
            <w:noWrap/>
            <w:vAlign w:val="center"/>
          </w:tcPr>
          <w:p>
            <w:pPr>
              <w:pStyle w:val="8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12"/>
                <w:rFonts w:ascii="仿宋" w:hAnsi="仿宋" w:eastAsia="仿宋" w:cs="仿宋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lang w:eastAsia="zh-CN"/>
              </w:rPr>
              <w:t>台</w:t>
            </w:r>
          </w:p>
        </w:tc>
        <w:tc>
          <w:tcPr>
            <w:tcW w:w="7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6" w:type="dxa"/>
            <w:gridSpan w:val="2"/>
            <w:noWrap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rStyle w:val="12"/>
                <w:rFonts w:hint="eastAsia" w:ascii="仿宋" w:hAnsi="仿宋" w:eastAsia="仿宋" w:cs="仿宋"/>
                <w:bCs/>
                <w:color w:val="auto"/>
                <w:shd w:val="clear" w:color="auto" w:fill="FFFFFF"/>
              </w:rPr>
              <w:t>合计</w:t>
            </w:r>
          </w:p>
        </w:tc>
        <w:tc>
          <w:tcPr>
            <w:tcW w:w="6335" w:type="dxa"/>
            <w:gridSpan w:val="5"/>
            <w:noWrap/>
            <w:vAlign w:val="center"/>
          </w:tcPr>
          <w:p>
            <w:pPr>
              <w:pStyle w:val="8"/>
              <w:widowControl/>
              <w:tabs>
                <w:tab w:val="left" w:pos="1839"/>
              </w:tabs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</w:rPr>
              <w:t>人民币：     元整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（￥     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注：1.以上投标报价包含货物费、辅材辅料费、安装调试费、税费等全部费用在内，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2.未按要求提供投标品牌型号的作无效标处理。</w:t>
      </w: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widowControl/>
        <w:jc w:val="center"/>
        <w:rPr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       2023年  月 </w:t>
      </w:r>
      <w:bookmarkStart w:id="0" w:name="_GoBack"/>
      <w:bookmarkEnd w:id="0"/>
    </w:p>
    <w:sectPr>
      <w:pgSz w:w="11906" w:h="16838"/>
      <w:pgMar w:top="1134" w:right="1020" w:bottom="1134" w:left="102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4YTNhZjMzZDlhMmJjNmU1Y2VmZmFkN2ZkYTRmZjgifQ=="/>
  </w:docVars>
  <w:rsids>
    <w:rsidRoot w:val="003021B3"/>
    <w:rsid w:val="0000054B"/>
    <w:rsid w:val="00004BC3"/>
    <w:rsid w:val="00016058"/>
    <w:rsid w:val="00017251"/>
    <w:rsid w:val="00033134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DF6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1813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3021B3"/>
    <w:rsid w:val="00312E86"/>
    <w:rsid w:val="003154AB"/>
    <w:rsid w:val="00316E95"/>
    <w:rsid w:val="00324436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F36E3"/>
    <w:rsid w:val="00503C41"/>
    <w:rsid w:val="005269E8"/>
    <w:rsid w:val="00535608"/>
    <w:rsid w:val="00542203"/>
    <w:rsid w:val="00542BC8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92A46"/>
    <w:rsid w:val="00793139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3C37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555A3"/>
    <w:rsid w:val="00C64054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B5A49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DF5FCF"/>
    <w:rsid w:val="00E02889"/>
    <w:rsid w:val="00E16462"/>
    <w:rsid w:val="00E2416C"/>
    <w:rsid w:val="00E305F3"/>
    <w:rsid w:val="00E36285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410B"/>
    <w:rsid w:val="00FA5BA2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94449E"/>
    <w:rsid w:val="02291B0C"/>
    <w:rsid w:val="033E16C0"/>
    <w:rsid w:val="03635531"/>
    <w:rsid w:val="04554790"/>
    <w:rsid w:val="04856475"/>
    <w:rsid w:val="083258FA"/>
    <w:rsid w:val="0D8D05D5"/>
    <w:rsid w:val="0E704CDD"/>
    <w:rsid w:val="0EDE3359"/>
    <w:rsid w:val="0FC449CF"/>
    <w:rsid w:val="111C745A"/>
    <w:rsid w:val="1190647B"/>
    <w:rsid w:val="133A347D"/>
    <w:rsid w:val="13A21851"/>
    <w:rsid w:val="14DE5154"/>
    <w:rsid w:val="14F90DB5"/>
    <w:rsid w:val="161A7DAE"/>
    <w:rsid w:val="17B0335E"/>
    <w:rsid w:val="17DF0739"/>
    <w:rsid w:val="180E5252"/>
    <w:rsid w:val="19257662"/>
    <w:rsid w:val="195A0741"/>
    <w:rsid w:val="1C642F39"/>
    <w:rsid w:val="1D126DCC"/>
    <w:rsid w:val="1D3C5034"/>
    <w:rsid w:val="1F4633B6"/>
    <w:rsid w:val="1FDD1DEC"/>
    <w:rsid w:val="22AE5EF6"/>
    <w:rsid w:val="25823B8B"/>
    <w:rsid w:val="2658485C"/>
    <w:rsid w:val="273267AE"/>
    <w:rsid w:val="28312778"/>
    <w:rsid w:val="2A0C39C4"/>
    <w:rsid w:val="2A5C6402"/>
    <w:rsid w:val="2D885BE3"/>
    <w:rsid w:val="3080083E"/>
    <w:rsid w:val="31104361"/>
    <w:rsid w:val="325651D2"/>
    <w:rsid w:val="33E82472"/>
    <w:rsid w:val="34CA09B9"/>
    <w:rsid w:val="35E957AA"/>
    <w:rsid w:val="38206741"/>
    <w:rsid w:val="38687442"/>
    <w:rsid w:val="395E1740"/>
    <w:rsid w:val="3B233FB1"/>
    <w:rsid w:val="3C1C5C1D"/>
    <w:rsid w:val="3E3901C8"/>
    <w:rsid w:val="430943F2"/>
    <w:rsid w:val="44AF77AE"/>
    <w:rsid w:val="47C15E0F"/>
    <w:rsid w:val="488976ED"/>
    <w:rsid w:val="48E61849"/>
    <w:rsid w:val="48F57FE5"/>
    <w:rsid w:val="4925491A"/>
    <w:rsid w:val="4D496342"/>
    <w:rsid w:val="4EFF0C80"/>
    <w:rsid w:val="51120FA7"/>
    <w:rsid w:val="51935DFF"/>
    <w:rsid w:val="51E729F4"/>
    <w:rsid w:val="5510702B"/>
    <w:rsid w:val="5A4C6962"/>
    <w:rsid w:val="5A6D5DB8"/>
    <w:rsid w:val="5A717E48"/>
    <w:rsid w:val="5B0028D0"/>
    <w:rsid w:val="5C317C44"/>
    <w:rsid w:val="5C4F69D3"/>
    <w:rsid w:val="5D4C51B4"/>
    <w:rsid w:val="5E5643D0"/>
    <w:rsid w:val="60655C70"/>
    <w:rsid w:val="61026C5E"/>
    <w:rsid w:val="614E25DE"/>
    <w:rsid w:val="61981217"/>
    <w:rsid w:val="6354294F"/>
    <w:rsid w:val="63753E82"/>
    <w:rsid w:val="63D70224"/>
    <w:rsid w:val="64061022"/>
    <w:rsid w:val="673B45A6"/>
    <w:rsid w:val="685271EB"/>
    <w:rsid w:val="6AB20490"/>
    <w:rsid w:val="6B223264"/>
    <w:rsid w:val="6B936C40"/>
    <w:rsid w:val="6BE33577"/>
    <w:rsid w:val="6C1902DF"/>
    <w:rsid w:val="6D491B4B"/>
    <w:rsid w:val="6D4B3F62"/>
    <w:rsid w:val="711A6DEF"/>
    <w:rsid w:val="71E2193F"/>
    <w:rsid w:val="727260AA"/>
    <w:rsid w:val="73315FFB"/>
    <w:rsid w:val="73C0648F"/>
    <w:rsid w:val="74DC0DB8"/>
    <w:rsid w:val="76D52313"/>
    <w:rsid w:val="7716637C"/>
    <w:rsid w:val="77572FC9"/>
    <w:rsid w:val="79A25F21"/>
    <w:rsid w:val="79EA4484"/>
    <w:rsid w:val="7ADC497B"/>
    <w:rsid w:val="7B56228A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字符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字符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3">
    <w:name w:val="font41"/>
    <w:basedOn w:val="1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4">
    <w:name w:val="font21"/>
    <w:basedOn w:val="11"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ECFFA-C4B8-4382-80B2-94C19A68A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573</Words>
  <Characters>3270</Characters>
  <Lines>27</Lines>
  <Paragraphs>7</Paragraphs>
  <TotalTime>22</TotalTime>
  <ScaleCrop>false</ScaleCrop>
  <LinksUpToDate>false</LinksUpToDate>
  <CharactersWithSpaces>3836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2022-11-29T04:17:00Z</dcterms:created>
  <dc:creator>admin</dc:creator>
  <cp:lastModifiedBy>Administrator</cp:lastModifiedBy>
  <cp:lastPrinted>2023-05-29T02:19:00Z</cp:lastPrinted>
  <dcterms:modified xsi:type="dcterms:W3CDTF">2023-06-19T13:55:50Z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F06CE336E78D4865A818CC6B09C3C8A7</vt:lpwstr>
  </property>
</Properties>
</file>