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color w:val="auto"/>
          <w:sz w:val="36"/>
          <w:szCs w:val="36"/>
        </w:rPr>
      </w:pPr>
      <w:r>
        <w:rPr>
          <w:rFonts w:hint="eastAsia" w:hAnsi="宋体"/>
          <w:b/>
          <w:sz w:val="36"/>
          <w:szCs w:val="36"/>
        </w:rPr>
        <w:t>湖州师范学院数字图书馆</w:t>
      </w:r>
      <w:r>
        <w:rPr>
          <w:rFonts w:hint="eastAsia" w:hAnsi="宋体"/>
          <w:b/>
          <w:sz w:val="36"/>
          <w:szCs w:val="36"/>
          <w:lang w:eastAsia="zh-CN"/>
        </w:rPr>
        <w:t>新建工程项目</w:t>
      </w:r>
      <w:r>
        <w:rPr>
          <w:rFonts w:hint="eastAsia" w:hAnsi="宋体"/>
          <w:b/>
          <w:sz w:val="36"/>
          <w:szCs w:val="36"/>
        </w:rPr>
        <w:t>等五个项目工程竣工财务决算审</w:t>
      </w:r>
      <w:r>
        <w:rPr>
          <w:rFonts w:hint="eastAsia" w:hAnsi="宋体"/>
          <w:b/>
          <w:color w:val="auto"/>
          <w:sz w:val="36"/>
          <w:szCs w:val="36"/>
        </w:rPr>
        <w:t>计</w:t>
      </w:r>
      <w:r>
        <w:rPr>
          <w:rFonts w:hAnsi="宋体"/>
          <w:b/>
          <w:color w:val="auto"/>
          <w:sz w:val="36"/>
          <w:szCs w:val="36"/>
        </w:rPr>
        <w:t>服务机构</w:t>
      </w:r>
      <w:r>
        <w:rPr>
          <w:rFonts w:hint="eastAsia" w:hAnsi="宋体"/>
          <w:b/>
          <w:color w:val="auto"/>
          <w:sz w:val="36"/>
          <w:szCs w:val="36"/>
          <w:lang w:eastAsia="zh-CN"/>
        </w:rPr>
        <w:t>确定</w:t>
      </w:r>
      <w:r>
        <w:rPr>
          <w:rFonts w:hAnsi="宋体"/>
          <w:b/>
          <w:color w:val="auto"/>
          <w:sz w:val="36"/>
          <w:szCs w:val="36"/>
        </w:rPr>
        <w:t>项目</w:t>
      </w:r>
      <w:r>
        <w:rPr>
          <w:rFonts w:hint="eastAsia" w:hAnsi="宋体"/>
          <w:b/>
          <w:color w:val="auto"/>
          <w:sz w:val="36"/>
          <w:szCs w:val="36"/>
          <w:lang w:eastAsia="zh-CN"/>
        </w:rPr>
        <w:t>询价</w:t>
      </w:r>
      <w:r>
        <w:rPr>
          <w:rFonts w:hint="eastAsia" w:asciiTheme="majorEastAsia" w:hAnsiTheme="majorEastAsia" w:eastAsiaTheme="majorEastAsia"/>
          <w:b/>
          <w:color w:val="auto"/>
          <w:sz w:val="36"/>
          <w:szCs w:val="36"/>
        </w:rPr>
        <w:t>文件</w:t>
      </w:r>
    </w:p>
    <w:p>
      <w:pPr>
        <w:jc w:val="center"/>
        <w:rPr>
          <w:rFonts w:ascii="仿宋" w:hAnsi="仿宋" w:eastAsia="仿宋"/>
          <w:sz w:val="24"/>
        </w:rPr>
      </w:pPr>
    </w:p>
    <w:p>
      <w:pPr>
        <w:ind w:firstLine="482" w:firstLineChars="200"/>
        <w:rPr>
          <w:rFonts w:ascii="仿宋" w:hAnsi="仿宋" w:eastAsia="仿宋"/>
          <w:b/>
          <w:color w:val="000000"/>
          <w:sz w:val="24"/>
        </w:rPr>
      </w:pPr>
      <w:r>
        <w:rPr>
          <w:rFonts w:hint="eastAsia" w:ascii="仿宋" w:hAnsi="仿宋" w:eastAsia="仿宋"/>
          <w:b/>
          <w:color w:val="000000"/>
          <w:sz w:val="24"/>
        </w:rPr>
        <w:t>一、招标项目概况</w:t>
      </w:r>
    </w:p>
    <w:p>
      <w:pPr>
        <w:ind w:firstLine="480" w:firstLineChars="200"/>
        <w:rPr>
          <w:rFonts w:ascii="仿宋" w:hAnsi="仿宋" w:eastAsia="仿宋"/>
          <w:color w:val="000000"/>
          <w:sz w:val="24"/>
        </w:rPr>
      </w:pPr>
      <w:r>
        <w:rPr>
          <w:rFonts w:hint="eastAsia" w:ascii="仿宋" w:hAnsi="仿宋" w:eastAsia="仿宋"/>
          <w:color w:val="000000"/>
          <w:sz w:val="24"/>
        </w:rPr>
        <w:t>1.采购项目名称：</w:t>
      </w:r>
      <w:r>
        <w:rPr>
          <w:rFonts w:hint="eastAsia" w:ascii="仿宋" w:hAnsi="仿宋" w:eastAsia="仿宋" w:cs="宋体"/>
          <w:color w:val="000000"/>
          <w:kern w:val="0"/>
          <w:sz w:val="24"/>
          <w:szCs w:val="24"/>
          <w:u w:val="single"/>
        </w:rPr>
        <w:t>湖州师范学院数字图书馆</w:t>
      </w:r>
      <w:r>
        <w:rPr>
          <w:rFonts w:hint="eastAsia" w:ascii="仿宋" w:hAnsi="仿宋" w:eastAsia="仿宋" w:cs="宋体"/>
          <w:color w:val="000000"/>
          <w:kern w:val="0"/>
          <w:sz w:val="24"/>
          <w:szCs w:val="24"/>
          <w:u w:val="single"/>
          <w:lang w:eastAsia="zh-CN"/>
        </w:rPr>
        <w:t>新建工程项目</w:t>
      </w:r>
      <w:r>
        <w:rPr>
          <w:rFonts w:hint="eastAsia" w:ascii="仿宋" w:hAnsi="仿宋" w:eastAsia="仿宋" w:cs="宋体"/>
          <w:color w:val="000000"/>
          <w:kern w:val="0"/>
          <w:sz w:val="24"/>
          <w:szCs w:val="24"/>
          <w:u w:val="single"/>
        </w:rPr>
        <w:t>等五个项目工程竣工财务决算审计服务机构准入项目</w:t>
      </w:r>
    </w:p>
    <w:p>
      <w:pPr>
        <w:ind w:firstLine="480" w:firstLineChars="200"/>
        <w:rPr>
          <w:rFonts w:hint="default" w:ascii="仿宋" w:hAnsi="仿宋" w:eastAsia="仿宋"/>
          <w:color w:val="000000"/>
          <w:sz w:val="24"/>
          <w:lang w:val="en-US" w:eastAsia="zh-CN"/>
        </w:rPr>
      </w:pPr>
      <w:r>
        <w:rPr>
          <w:rFonts w:hint="eastAsia" w:ascii="仿宋" w:hAnsi="仿宋" w:eastAsia="仿宋"/>
          <w:color w:val="000000"/>
          <w:sz w:val="24"/>
        </w:rPr>
        <w:t>2.采购项目编号:XZ201</w:t>
      </w:r>
      <w:r>
        <w:rPr>
          <w:rFonts w:hint="eastAsia" w:ascii="仿宋" w:hAnsi="仿宋" w:eastAsia="仿宋"/>
          <w:color w:val="000000"/>
          <w:sz w:val="24"/>
          <w:lang w:val="en-US" w:eastAsia="zh-CN"/>
        </w:rPr>
        <w:t>9-263</w:t>
      </w:r>
    </w:p>
    <w:p>
      <w:pPr>
        <w:ind w:firstLine="480" w:firstLineChars="200"/>
        <w:rPr>
          <w:rFonts w:ascii="仿宋" w:hAnsi="仿宋" w:eastAsia="仿宋"/>
          <w:color w:val="000000"/>
          <w:sz w:val="24"/>
        </w:rPr>
      </w:pPr>
      <w:r>
        <w:rPr>
          <w:rFonts w:hint="eastAsia" w:ascii="仿宋" w:hAnsi="仿宋" w:eastAsia="仿宋"/>
          <w:color w:val="000000"/>
          <w:sz w:val="24"/>
        </w:rPr>
        <w:t>3.采购组织类型：分散采购自行组织</w:t>
      </w:r>
    </w:p>
    <w:p>
      <w:pPr>
        <w:ind w:firstLine="480" w:firstLineChars="200"/>
        <w:rPr>
          <w:rFonts w:hint="eastAsia" w:ascii="仿宋" w:hAnsi="仿宋" w:eastAsia="仿宋"/>
          <w:color w:val="000000"/>
          <w:sz w:val="24"/>
          <w:lang w:eastAsia="zh-CN"/>
        </w:rPr>
      </w:pPr>
      <w:r>
        <w:rPr>
          <w:rFonts w:hint="eastAsia" w:ascii="仿宋" w:hAnsi="仿宋" w:eastAsia="仿宋"/>
          <w:color w:val="000000"/>
          <w:sz w:val="24"/>
        </w:rPr>
        <w:t>4.采购方式：校内</w:t>
      </w:r>
      <w:r>
        <w:rPr>
          <w:rFonts w:hint="eastAsia" w:ascii="仿宋" w:hAnsi="仿宋" w:eastAsia="仿宋"/>
          <w:color w:val="000000"/>
          <w:sz w:val="24"/>
          <w:lang w:eastAsia="zh-CN"/>
        </w:rPr>
        <w:t>询价</w:t>
      </w:r>
    </w:p>
    <w:p>
      <w:pPr>
        <w:ind w:firstLine="480" w:firstLineChars="200"/>
        <w:rPr>
          <w:rFonts w:hint="eastAsia" w:ascii="仿宋" w:hAnsi="仿宋" w:eastAsia="仿宋"/>
          <w:color w:val="000000"/>
          <w:sz w:val="24"/>
          <w:lang w:val="en-US" w:eastAsia="zh-CN"/>
        </w:rPr>
      </w:pPr>
      <w:r>
        <w:rPr>
          <w:rFonts w:hint="eastAsia" w:ascii="仿宋" w:hAnsi="仿宋" w:eastAsia="仿宋"/>
          <w:color w:val="000000"/>
          <w:sz w:val="24"/>
          <w:lang w:val="en-US" w:eastAsia="zh-CN"/>
        </w:rPr>
        <w:t>5.采购预算：人民币壹拾伍万元整（¥ 150000元）</w:t>
      </w:r>
    </w:p>
    <w:tbl>
      <w:tblPr>
        <w:tblStyle w:val="4"/>
        <w:tblW w:w="7572" w:type="dxa"/>
        <w:jc w:val="center"/>
        <w:tblInd w:w="0" w:type="dxa"/>
        <w:tblLayout w:type="fixed"/>
        <w:tblCellMar>
          <w:top w:w="567" w:type="dxa"/>
          <w:left w:w="105" w:type="dxa"/>
          <w:bottom w:w="567" w:type="dxa"/>
          <w:right w:w="105" w:type="dxa"/>
        </w:tblCellMar>
      </w:tblPr>
      <w:tblGrid>
        <w:gridCol w:w="461"/>
        <w:gridCol w:w="3214"/>
        <w:gridCol w:w="2489"/>
        <w:gridCol w:w="1408"/>
      </w:tblGrid>
      <w:tr>
        <w:tblPrEx>
          <w:tblLayout w:type="fixed"/>
          <w:tblCellMar>
            <w:top w:w="567" w:type="dxa"/>
            <w:left w:w="105" w:type="dxa"/>
            <w:bottom w:w="567" w:type="dxa"/>
            <w:right w:w="105" w:type="dxa"/>
          </w:tblCellMar>
        </w:tblPrEx>
        <w:trPr>
          <w:trHeight w:val="540" w:hRule="atLeast"/>
          <w:jc w:val="center"/>
        </w:trPr>
        <w:tc>
          <w:tcPr>
            <w:tcW w:w="46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rFonts w:ascii="仿宋" w:hAnsi="仿宋" w:eastAsia="仿宋"/>
                <w:color w:val="auto"/>
                <w:sz w:val="24"/>
              </w:rPr>
            </w:pPr>
            <w:r>
              <w:rPr>
                <w:rFonts w:hint="eastAsia" w:ascii="仿宋" w:hAnsi="仿宋" w:eastAsia="仿宋"/>
                <w:color w:val="auto"/>
                <w:sz w:val="24"/>
              </w:rPr>
              <w:t>序号</w:t>
            </w:r>
          </w:p>
        </w:tc>
        <w:tc>
          <w:tcPr>
            <w:tcW w:w="3214"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rFonts w:ascii="仿宋" w:hAnsi="仿宋" w:eastAsia="仿宋"/>
                <w:color w:val="auto"/>
                <w:sz w:val="24"/>
              </w:rPr>
            </w:pPr>
            <w:r>
              <w:rPr>
                <w:rFonts w:hint="eastAsia" w:ascii="仿宋" w:hAnsi="仿宋" w:eastAsia="仿宋"/>
                <w:color w:val="auto"/>
                <w:sz w:val="24"/>
                <w:lang w:eastAsia="zh-CN"/>
              </w:rPr>
              <w:t>审核项目</w:t>
            </w:r>
          </w:p>
        </w:tc>
        <w:tc>
          <w:tcPr>
            <w:tcW w:w="2489"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rFonts w:hint="eastAsia" w:ascii="仿宋" w:hAnsi="仿宋" w:eastAsia="仿宋"/>
                <w:color w:val="auto"/>
                <w:sz w:val="24"/>
                <w:lang w:eastAsia="zh-CN"/>
              </w:rPr>
            </w:pPr>
            <w:r>
              <w:rPr>
                <w:rFonts w:hint="eastAsia" w:ascii="仿宋" w:hAnsi="仿宋" w:eastAsia="仿宋"/>
                <w:color w:val="auto"/>
                <w:sz w:val="24"/>
                <w:lang w:eastAsia="zh-CN"/>
              </w:rPr>
              <w:t>采购预算</w:t>
            </w:r>
          </w:p>
          <w:p>
            <w:pPr>
              <w:jc w:val="center"/>
              <w:rPr>
                <w:rFonts w:hint="eastAsia" w:ascii="仿宋" w:hAnsi="仿宋" w:eastAsia="仿宋"/>
                <w:color w:val="auto"/>
                <w:sz w:val="24"/>
                <w:lang w:eastAsia="zh-CN"/>
              </w:rPr>
            </w:pPr>
            <w:r>
              <w:rPr>
                <w:rFonts w:hint="eastAsia" w:ascii="仿宋" w:hAnsi="仿宋" w:eastAsia="仿宋"/>
                <w:color w:val="auto"/>
                <w:sz w:val="24"/>
                <w:lang w:eastAsia="zh-CN"/>
              </w:rPr>
              <w:t>（元）</w:t>
            </w:r>
          </w:p>
        </w:tc>
        <w:tc>
          <w:tcPr>
            <w:tcW w:w="140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rFonts w:hint="eastAsia" w:ascii="仿宋" w:hAnsi="仿宋" w:eastAsia="仿宋"/>
                <w:color w:val="auto"/>
                <w:sz w:val="24"/>
                <w:lang w:eastAsia="zh-CN"/>
              </w:rPr>
            </w:pPr>
            <w:r>
              <w:rPr>
                <w:rFonts w:hint="eastAsia" w:ascii="仿宋" w:hAnsi="仿宋" w:eastAsia="仿宋"/>
                <w:color w:val="auto"/>
                <w:sz w:val="24"/>
                <w:lang w:eastAsia="zh-CN"/>
              </w:rPr>
              <w:t>备注</w:t>
            </w:r>
          </w:p>
        </w:tc>
      </w:tr>
      <w:tr>
        <w:tblPrEx>
          <w:tblLayout w:type="fixed"/>
          <w:tblCellMar>
            <w:top w:w="567" w:type="dxa"/>
            <w:left w:w="105" w:type="dxa"/>
            <w:bottom w:w="567" w:type="dxa"/>
            <w:right w:w="105" w:type="dxa"/>
          </w:tblCellMar>
        </w:tblPrEx>
        <w:trPr>
          <w:trHeight w:val="540" w:hRule="atLeast"/>
          <w:jc w:val="center"/>
        </w:trPr>
        <w:tc>
          <w:tcPr>
            <w:tcW w:w="461"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jc w:val="center"/>
              <w:rPr>
                <w:rFonts w:ascii="仿宋" w:hAnsi="仿宋" w:eastAsia="仿宋"/>
                <w:color w:val="auto"/>
                <w:sz w:val="24"/>
              </w:rPr>
            </w:pPr>
            <w:r>
              <w:rPr>
                <w:rFonts w:hint="eastAsia" w:ascii="仿宋" w:hAnsi="仿宋" w:eastAsia="仿宋"/>
                <w:color w:val="auto"/>
                <w:sz w:val="24"/>
              </w:rPr>
              <w:t>1</w:t>
            </w:r>
          </w:p>
        </w:tc>
        <w:tc>
          <w:tcPr>
            <w:tcW w:w="3214"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numPr>
                <w:ilvl w:val="0"/>
                <w:numId w:val="1"/>
              </w:numPr>
              <w:jc w:val="left"/>
              <w:rPr>
                <w:rFonts w:hint="default" w:ascii="仿宋" w:hAnsi="仿宋" w:eastAsia="仿宋"/>
                <w:color w:val="auto"/>
                <w:sz w:val="24"/>
                <w:lang w:val="en-US" w:eastAsia="zh-CN"/>
              </w:rPr>
            </w:pPr>
            <w:r>
              <w:rPr>
                <w:rFonts w:hint="eastAsia" w:ascii="仿宋" w:hAnsi="仿宋" w:eastAsia="仿宋"/>
                <w:color w:val="auto"/>
                <w:sz w:val="24"/>
                <w:lang w:val="en-US" w:eastAsia="zh-CN"/>
              </w:rPr>
              <w:t>研究生公寓楼项目</w:t>
            </w:r>
          </w:p>
        </w:tc>
        <w:tc>
          <w:tcPr>
            <w:tcW w:w="2489" w:type="dxa"/>
            <w:vMerge w:val="restart"/>
            <w:tcBorders>
              <w:top w:val="nil"/>
              <w:left w:val="nil"/>
              <w:right w:val="single" w:color="000000" w:sz="6" w:space="0"/>
            </w:tcBorders>
            <w:shd w:val="clear" w:color="auto" w:fill="auto"/>
            <w:tcMar>
              <w:top w:w="0" w:type="dxa"/>
              <w:left w:w="105" w:type="dxa"/>
              <w:bottom w:w="0" w:type="dxa"/>
              <w:right w:w="105" w:type="dxa"/>
            </w:tcMar>
            <w:vAlign w:val="center"/>
          </w:tcPr>
          <w:p>
            <w:pPr>
              <w:numPr>
                <w:ilvl w:val="0"/>
                <w:numId w:val="0"/>
              </w:num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150000</w:t>
            </w:r>
          </w:p>
        </w:tc>
        <w:tc>
          <w:tcPr>
            <w:tcW w:w="1408" w:type="dxa"/>
            <w:vMerge w:val="restart"/>
            <w:tcBorders>
              <w:top w:val="nil"/>
              <w:left w:val="nil"/>
              <w:right w:val="single" w:color="000000" w:sz="6" w:space="0"/>
            </w:tcBorders>
            <w:shd w:val="clear" w:color="auto" w:fill="auto"/>
            <w:tcMar>
              <w:top w:w="0" w:type="dxa"/>
              <w:left w:w="105" w:type="dxa"/>
              <w:bottom w:w="0" w:type="dxa"/>
              <w:right w:w="105" w:type="dxa"/>
            </w:tcMar>
            <w:vAlign w:val="center"/>
          </w:tcPr>
          <w:p>
            <w:pPr>
              <w:numPr>
                <w:ilvl w:val="0"/>
                <w:numId w:val="0"/>
              </w:num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采购预算根据浙价服【2009】84号文件计算，投标报价优惠后不得超过采购预算。</w:t>
            </w:r>
          </w:p>
        </w:tc>
      </w:tr>
      <w:tr>
        <w:tblPrEx>
          <w:tblLayout w:type="fixed"/>
          <w:tblCellMar>
            <w:top w:w="567" w:type="dxa"/>
            <w:left w:w="105" w:type="dxa"/>
            <w:bottom w:w="567" w:type="dxa"/>
            <w:right w:w="105" w:type="dxa"/>
          </w:tblCellMar>
        </w:tblPrEx>
        <w:trPr>
          <w:trHeight w:val="540" w:hRule="atLeast"/>
          <w:jc w:val="center"/>
        </w:trPr>
        <w:tc>
          <w:tcPr>
            <w:tcW w:w="461" w:type="dxa"/>
            <w:tcBorders>
              <w:top w:val="single" w:color="auto" w:sz="4" w:space="0"/>
              <w:left w:val="single" w:color="auto" w:sz="4" w:space="0"/>
              <w:bottom w:val="single" w:color="auto" w:sz="4" w:space="0"/>
              <w:right w:val="single" w:color="000000" w:sz="6" w:space="0"/>
            </w:tcBorders>
            <w:shd w:val="clear" w:color="auto" w:fill="auto"/>
            <w:tcMar>
              <w:top w:w="0" w:type="dxa"/>
              <w:left w:w="105" w:type="dxa"/>
              <w:bottom w:w="0" w:type="dxa"/>
              <w:right w:w="105" w:type="dxa"/>
            </w:tcMar>
            <w:vAlign w:val="center"/>
          </w:tcPr>
          <w:p>
            <w:pPr>
              <w:jc w:val="center"/>
              <w:rPr>
                <w:rFonts w:hint="eastAsia" w:ascii="仿宋" w:hAnsi="仿宋" w:eastAsia="仿宋"/>
                <w:color w:val="auto"/>
                <w:sz w:val="24"/>
              </w:rPr>
            </w:pPr>
          </w:p>
        </w:tc>
        <w:tc>
          <w:tcPr>
            <w:tcW w:w="3214" w:type="dxa"/>
            <w:tcBorders>
              <w:top w:val="single" w:color="auto" w:sz="4"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numPr>
                <w:ilvl w:val="0"/>
                <w:numId w:val="1"/>
              </w:numPr>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求真后勤服务用房项目</w:t>
            </w:r>
          </w:p>
        </w:tc>
        <w:tc>
          <w:tcPr>
            <w:tcW w:w="2489" w:type="dxa"/>
            <w:vMerge w:val="continue"/>
            <w:tcBorders>
              <w:left w:val="nil"/>
              <w:right w:val="single" w:color="000000" w:sz="6" w:space="0"/>
            </w:tcBorders>
            <w:shd w:val="clear" w:color="auto" w:fill="auto"/>
            <w:tcMar>
              <w:top w:w="0" w:type="dxa"/>
              <w:left w:w="105" w:type="dxa"/>
              <w:bottom w:w="0" w:type="dxa"/>
              <w:right w:w="105" w:type="dxa"/>
            </w:tcMar>
            <w:vAlign w:val="center"/>
          </w:tcPr>
          <w:p>
            <w:pPr>
              <w:numPr>
                <w:ilvl w:val="0"/>
                <w:numId w:val="0"/>
              </w:numPr>
              <w:jc w:val="center"/>
              <w:rPr>
                <w:rFonts w:hint="default" w:ascii="仿宋" w:hAnsi="仿宋" w:eastAsia="仿宋"/>
                <w:color w:val="auto"/>
                <w:sz w:val="24"/>
                <w:lang w:val="en-US" w:eastAsia="zh-CN"/>
              </w:rPr>
            </w:pPr>
          </w:p>
        </w:tc>
        <w:tc>
          <w:tcPr>
            <w:tcW w:w="1408" w:type="dxa"/>
            <w:vMerge w:val="continue"/>
            <w:tcBorders>
              <w:left w:val="nil"/>
              <w:right w:val="single" w:color="000000" w:sz="6" w:space="0"/>
            </w:tcBorders>
            <w:shd w:val="clear" w:color="auto" w:fill="auto"/>
            <w:tcMar>
              <w:top w:w="0" w:type="dxa"/>
              <w:left w:w="105" w:type="dxa"/>
              <w:bottom w:w="0" w:type="dxa"/>
              <w:right w:w="105" w:type="dxa"/>
            </w:tcMar>
            <w:vAlign w:val="center"/>
          </w:tcPr>
          <w:p>
            <w:pPr>
              <w:numPr>
                <w:ilvl w:val="0"/>
                <w:numId w:val="0"/>
              </w:numPr>
              <w:jc w:val="center"/>
              <w:rPr>
                <w:rFonts w:hint="eastAsia" w:ascii="仿宋" w:hAnsi="仿宋" w:eastAsia="仿宋"/>
                <w:color w:val="auto"/>
                <w:sz w:val="24"/>
                <w:lang w:val="en-US" w:eastAsia="zh-CN"/>
              </w:rPr>
            </w:pPr>
          </w:p>
        </w:tc>
      </w:tr>
      <w:tr>
        <w:tblPrEx>
          <w:tblLayout w:type="fixed"/>
          <w:tblCellMar>
            <w:top w:w="567" w:type="dxa"/>
            <w:left w:w="105" w:type="dxa"/>
            <w:bottom w:w="567" w:type="dxa"/>
            <w:right w:w="105" w:type="dxa"/>
          </w:tblCellMar>
        </w:tblPrEx>
        <w:trPr>
          <w:trHeight w:val="540" w:hRule="atLeast"/>
          <w:jc w:val="center"/>
        </w:trPr>
        <w:tc>
          <w:tcPr>
            <w:tcW w:w="461" w:type="dxa"/>
            <w:tcBorders>
              <w:top w:val="single" w:color="auto" w:sz="4" w:space="0"/>
              <w:left w:val="single" w:color="auto" w:sz="4" w:space="0"/>
              <w:bottom w:val="single" w:color="auto" w:sz="4" w:space="0"/>
              <w:right w:val="single" w:color="000000" w:sz="6" w:space="0"/>
            </w:tcBorders>
            <w:shd w:val="clear" w:color="auto" w:fill="auto"/>
            <w:tcMar>
              <w:top w:w="0" w:type="dxa"/>
              <w:left w:w="105" w:type="dxa"/>
              <w:bottom w:w="0" w:type="dxa"/>
              <w:right w:w="105" w:type="dxa"/>
            </w:tcMar>
            <w:vAlign w:val="center"/>
          </w:tcPr>
          <w:p>
            <w:pPr>
              <w:jc w:val="center"/>
              <w:rPr>
                <w:rFonts w:hint="eastAsia" w:ascii="仿宋" w:hAnsi="仿宋" w:eastAsia="仿宋"/>
                <w:color w:val="auto"/>
                <w:sz w:val="24"/>
              </w:rPr>
            </w:pPr>
          </w:p>
        </w:tc>
        <w:tc>
          <w:tcPr>
            <w:tcW w:w="3214" w:type="dxa"/>
            <w:tcBorders>
              <w:top w:val="single" w:color="auto" w:sz="4"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numPr>
                <w:ilvl w:val="0"/>
                <w:numId w:val="1"/>
              </w:numPr>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水生生物实验养殖中心项目</w:t>
            </w:r>
          </w:p>
        </w:tc>
        <w:tc>
          <w:tcPr>
            <w:tcW w:w="2489" w:type="dxa"/>
            <w:vMerge w:val="continue"/>
            <w:tcBorders>
              <w:left w:val="nil"/>
              <w:right w:val="single" w:color="000000" w:sz="6" w:space="0"/>
            </w:tcBorders>
            <w:shd w:val="clear" w:color="auto" w:fill="auto"/>
            <w:tcMar>
              <w:top w:w="0" w:type="dxa"/>
              <w:left w:w="105" w:type="dxa"/>
              <w:bottom w:w="0" w:type="dxa"/>
              <w:right w:w="105" w:type="dxa"/>
            </w:tcMar>
            <w:vAlign w:val="center"/>
          </w:tcPr>
          <w:p>
            <w:pPr>
              <w:numPr>
                <w:ilvl w:val="0"/>
                <w:numId w:val="0"/>
              </w:numPr>
              <w:jc w:val="center"/>
              <w:rPr>
                <w:rFonts w:hint="default" w:ascii="仿宋" w:hAnsi="仿宋" w:eastAsia="仿宋"/>
                <w:color w:val="auto"/>
                <w:sz w:val="24"/>
                <w:lang w:val="en-US" w:eastAsia="zh-CN"/>
              </w:rPr>
            </w:pPr>
          </w:p>
        </w:tc>
        <w:tc>
          <w:tcPr>
            <w:tcW w:w="1408" w:type="dxa"/>
            <w:vMerge w:val="continue"/>
            <w:tcBorders>
              <w:left w:val="nil"/>
              <w:right w:val="single" w:color="000000" w:sz="6" w:space="0"/>
            </w:tcBorders>
            <w:shd w:val="clear" w:color="auto" w:fill="auto"/>
            <w:tcMar>
              <w:top w:w="0" w:type="dxa"/>
              <w:left w:w="105" w:type="dxa"/>
              <w:bottom w:w="0" w:type="dxa"/>
              <w:right w:w="105" w:type="dxa"/>
            </w:tcMar>
            <w:vAlign w:val="center"/>
          </w:tcPr>
          <w:p>
            <w:pPr>
              <w:numPr>
                <w:ilvl w:val="0"/>
                <w:numId w:val="0"/>
              </w:numPr>
              <w:jc w:val="center"/>
              <w:rPr>
                <w:rFonts w:hint="eastAsia" w:ascii="仿宋" w:hAnsi="仿宋" w:eastAsia="仿宋"/>
                <w:color w:val="auto"/>
                <w:sz w:val="24"/>
                <w:lang w:val="en-US" w:eastAsia="zh-CN"/>
              </w:rPr>
            </w:pPr>
          </w:p>
        </w:tc>
      </w:tr>
      <w:tr>
        <w:tblPrEx>
          <w:tblLayout w:type="fixed"/>
          <w:tblCellMar>
            <w:top w:w="567" w:type="dxa"/>
            <w:left w:w="105" w:type="dxa"/>
            <w:bottom w:w="567" w:type="dxa"/>
            <w:right w:w="105" w:type="dxa"/>
          </w:tblCellMar>
        </w:tblPrEx>
        <w:trPr>
          <w:trHeight w:val="540" w:hRule="atLeast"/>
          <w:jc w:val="center"/>
        </w:trPr>
        <w:tc>
          <w:tcPr>
            <w:tcW w:w="461" w:type="dxa"/>
            <w:tcBorders>
              <w:top w:val="single" w:color="auto" w:sz="4" w:space="0"/>
              <w:left w:val="single" w:color="auto" w:sz="4" w:space="0"/>
              <w:bottom w:val="single" w:color="auto" w:sz="4" w:space="0"/>
              <w:right w:val="single" w:color="000000" w:sz="6" w:space="0"/>
            </w:tcBorders>
            <w:shd w:val="clear" w:color="auto" w:fill="auto"/>
            <w:tcMar>
              <w:top w:w="0" w:type="dxa"/>
              <w:left w:w="105" w:type="dxa"/>
              <w:bottom w:w="0" w:type="dxa"/>
              <w:right w:w="105" w:type="dxa"/>
            </w:tcMar>
            <w:vAlign w:val="center"/>
          </w:tcPr>
          <w:p>
            <w:pPr>
              <w:jc w:val="center"/>
              <w:rPr>
                <w:rFonts w:hint="eastAsia" w:ascii="仿宋" w:hAnsi="仿宋" w:eastAsia="仿宋"/>
                <w:color w:val="auto"/>
                <w:sz w:val="24"/>
              </w:rPr>
            </w:pPr>
          </w:p>
        </w:tc>
        <w:tc>
          <w:tcPr>
            <w:tcW w:w="3214" w:type="dxa"/>
            <w:tcBorders>
              <w:top w:val="single" w:color="auto" w:sz="4"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numPr>
                <w:ilvl w:val="0"/>
                <w:numId w:val="1"/>
              </w:numPr>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求真学院中西校区电力扩容项目</w:t>
            </w:r>
          </w:p>
        </w:tc>
        <w:tc>
          <w:tcPr>
            <w:tcW w:w="2489" w:type="dxa"/>
            <w:vMerge w:val="continue"/>
            <w:tcBorders>
              <w:left w:val="nil"/>
              <w:right w:val="single" w:color="000000" w:sz="6" w:space="0"/>
            </w:tcBorders>
            <w:shd w:val="clear" w:color="auto" w:fill="auto"/>
            <w:tcMar>
              <w:top w:w="0" w:type="dxa"/>
              <w:left w:w="105" w:type="dxa"/>
              <w:bottom w:w="0" w:type="dxa"/>
              <w:right w:w="105" w:type="dxa"/>
            </w:tcMar>
            <w:vAlign w:val="center"/>
          </w:tcPr>
          <w:p>
            <w:pPr>
              <w:numPr>
                <w:ilvl w:val="0"/>
                <w:numId w:val="0"/>
              </w:numPr>
              <w:jc w:val="center"/>
              <w:rPr>
                <w:rFonts w:hint="default" w:ascii="仿宋" w:hAnsi="仿宋" w:eastAsia="仿宋"/>
                <w:color w:val="auto"/>
                <w:sz w:val="24"/>
                <w:lang w:val="en-US" w:eastAsia="zh-CN"/>
              </w:rPr>
            </w:pPr>
          </w:p>
        </w:tc>
        <w:tc>
          <w:tcPr>
            <w:tcW w:w="1408" w:type="dxa"/>
            <w:vMerge w:val="continue"/>
            <w:tcBorders>
              <w:left w:val="nil"/>
              <w:right w:val="single" w:color="000000" w:sz="6" w:space="0"/>
            </w:tcBorders>
            <w:shd w:val="clear" w:color="auto" w:fill="auto"/>
            <w:tcMar>
              <w:top w:w="0" w:type="dxa"/>
              <w:left w:w="105" w:type="dxa"/>
              <w:bottom w:w="0" w:type="dxa"/>
              <w:right w:w="105" w:type="dxa"/>
            </w:tcMar>
            <w:vAlign w:val="center"/>
          </w:tcPr>
          <w:p>
            <w:pPr>
              <w:numPr>
                <w:ilvl w:val="0"/>
                <w:numId w:val="0"/>
              </w:numPr>
              <w:jc w:val="center"/>
              <w:rPr>
                <w:rFonts w:hint="eastAsia" w:ascii="仿宋" w:hAnsi="仿宋" w:eastAsia="仿宋"/>
                <w:color w:val="auto"/>
                <w:sz w:val="24"/>
                <w:lang w:val="en-US" w:eastAsia="zh-CN"/>
              </w:rPr>
            </w:pPr>
          </w:p>
        </w:tc>
      </w:tr>
      <w:tr>
        <w:tblPrEx>
          <w:tblLayout w:type="fixed"/>
          <w:tblCellMar>
            <w:top w:w="567" w:type="dxa"/>
            <w:left w:w="105" w:type="dxa"/>
            <w:bottom w:w="567" w:type="dxa"/>
            <w:right w:w="105" w:type="dxa"/>
          </w:tblCellMar>
        </w:tblPrEx>
        <w:trPr>
          <w:trHeight w:val="540" w:hRule="atLeast"/>
          <w:jc w:val="center"/>
        </w:trPr>
        <w:tc>
          <w:tcPr>
            <w:tcW w:w="461" w:type="dxa"/>
            <w:tcBorders>
              <w:top w:val="single" w:color="auto" w:sz="4" w:space="0"/>
              <w:left w:val="single" w:color="auto" w:sz="4" w:space="0"/>
              <w:bottom w:val="single" w:color="auto" w:sz="4" w:space="0"/>
              <w:right w:val="single" w:color="000000" w:sz="6" w:space="0"/>
            </w:tcBorders>
            <w:shd w:val="clear" w:color="auto" w:fill="auto"/>
            <w:tcMar>
              <w:top w:w="0" w:type="dxa"/>
              <w:left w:w="105" w:type="dxa"/>
              <w:bottom w:w="0" w:type="dxa"/>
              <w:right w:w="105" w:type="dxa"/>
            </w:tcMar>
            <w:vAlign w:val="center"/>
          </w:tcPr>
          <w:p>
            <w:pPr>
              <w:jc w:val="center"/>
              <w:rPr>
                <w:rFonts w:hint="eastAsia" w:ascii="仿宋" w:hAnsi="仿宋" w:eastAsia="仿宋"/>
                <w:color w:val="auto"/>
                <w:sz w:val="24"/>
              </w:rPr>
            </w:pPr>
          </w:p>
        </w:tc>
        <w:tc>
          <w:tcPr>
            <w:tcW w:w="3214" w:type="dxa"/>
            <w:tcBorders>
              <w:top w:val="single" w:color="auto" w:sz="4"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numPr>
                <w:ilvl w:val="0"/>
                <w:numId w:val="1"/>
              </w:numPr>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数字图书馆、二号公共教学楼等新建工程项目</w:t>
            </w:r>
          </w:p>
        </w:tc>
        <w:tc>
          <w:tcPr>
            <w:tcW w:w="2489" w:type="dxa"/>
            <w:vMerge w:val="continue"/>
            <w:tcBorders>
              <w:left w:val="nil"/>
              <w:bottom w:val="single" w:color="auto" w:sz="4" w:space="0"/>
              <w:right w:val="single" w:color="000000" w:sz="6" w:space="0"/>
            </w:tcBorders>
            <w:shd w:val="clear" w:color="auto" w:fill="auto"/>
            <w:tcMar>
              <w:top w:w="0" w:type="dxa"/>
              <w:left w:w="105" w:type="dxa"/>
              <w:bottom w:w="0" w:type="dxa"/>
              <w:right w:w="105" w:type="dxa"/>
            </w:tcMar>
            <w:vAlign w:val="center"/>
          </w:tcPr>
          <w:p>
            <w:pPr>
              <w:numPr>
                <w:ilvl w:val="0"/>
                <w:numId w:val="0"/>
              </w:numPr>
              <w:jc w:val="center"/>
              <w:rPr>
                <w:rFonts w:hint="default" w:ascii="仿宋" w:hAnsi="仿宋" w:eastAsia="仿宋"/>
                <w:color w:val="auto"/>
                <w:sz w:val="24"/>
                <w:lang w:val="en-US" w:eastAsia="zh-CN"/>
              </w:rPr>
            </w:pPr>
          </w:p>
        </w:tc>
        <w:tc>
          <w:tcPr>
            <w:tcW w:w="1408" w:type="dxa"/>
            <w:vMerge w:val="continue"/>
            <w:tcBorders>
              <w:left w:val="nil"/>
              <w:bottom w:val="single" w:color="auto" w:sz="4" w:space="0"/>
              <w:right w:val="single" w:color="000000" w:sz="6" w:space="0"/>
            </w:tcBorders>
            <w:shd w:val="clear" w:color="auto" w:fill="auto"/>
            <w:tcMar>
              <w:top w:w="0" w:type="dxa"/>
              <w:left w:w="105" w:type="dxa"/>
              <w:bottom w:w="0" w:type="dxa"/>
              <w:right w:w="105" w:type="dxa"/>
            </w:tcMar>
            <w:vAlign w:val="center"/>
          </w:tcPr>
          <w:p>
            <w:pPr>
              <w:numPr>
                <w:ilvl w:val="0"/>
                <w:numId w:val="0"/>
              </w:numPr>
              <w:jc w:val="center"/>
              <w:rPr>
                <w:rFonts w:hint="eastAsia" w:ascii="仿宋" w:hAnsi="仿宋" w:eastAsia="仿宋"/>
                <w:color w:val="auto"/>
                <w:sz w:val="24"/>
                <w:lang w:val="en-US" w:eastAsia="zh-CN"/>
              </w:rPr>
            </w:pPr>
          </w:p>
        </w:tc>
      </w:tr>
    </w:tbl>
    <w:p>
      <w:pPr>
        <w:ind w:firstLine="482" w:firstLineChars="200"/>
        <w:rPr>
          <w:rFonts w:hint="eastAsia" w:ascii="仿宋" w:hAnsi="仿宋" w:eastAsia="仿宋"/>
          <w:b/>
          <w:color w:val="000000"/>
          <w:sz w:val="24"/>
          <w:lang w:eastAsia="zh-CN"/>
        </w:rPr>
      </w:pPr>
      <w:r>
        <w:rPr>
          <w:rFonts w:hint="eastAsia" w:ascii="仿宋" w:hAnsi="仿宋" w:eastAsia="仿宋"/>
          <w:b/>
          <w:color w:val="000000"/>
          <w:sz w:val="24"/>
        </w:rPr>
        <w:t>二、审计服务内容、要求</w:t>
      </w:r>
      <w:r>
        <w:rPr>
          <w:rFonts w:hint="eastAsia" w:ascii="仿宋" w:hAnsi="仿宋" w:eastAsia="仿宋"/>
          <w:b/>
          <w:color w:val="000000"/>
          <w:sz w:val="24"/>
          <w:lang w:eastAsia="zh-CN"/>
        </w:rPr>
        <w:t>、完成</w:t>
      </w:r>
      <w:r>
        <w:rPr>
          <w:rFonts w:hint="eastAsia" w:ascii="仿宋" w:hAnsi="仿宋" w:eastAsia="仿宋"/>
          <w:b/>
          <w:color w:val="000000"/>
          <w:sz w:val="24"/>
        </w:rPr>
        <w:t>期限</w:t>
      </w:r>
      <w:r>
        <w:rPr>
          <w:rFonts w:hint="eastAsia" w:ascii="仿宋" w:hAnsi="仿宋" w:eastAsia="仿宋"/>
          <w:b/>
          <w:color w:val="000000"/>
          <w:sz w:val="24"/>
          <w:lang w:eastAsia="zh-CN"/>
        </w:rPr>
        <w:t>及报价要求</w:t>
      </w:r>
    </w:p>
    <w:p>
      <w:pPr>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1.审计目的：审计单位根据委托为湖州师范学院</w:t>
      </w:r>
      <w:r>
        <w:rPr>
          <w:rFonts w:hint="eastAsia" w:ascii="仿宋" w:hAnsi="仿宋" w:eastAsia="仿宋"/>
          <w:color w:val="000000"/>
          <w:sz w:val="24"/>
          <w:highlight w:val="none"/>
          <w:lang w:eastAsia="zh-CN"/>
        </w:rPr>
        <w:t>数字图书馆等五个</w:t>
      </w:r>
      <w:r>
        <w:rPr>
          <w:rFonts w:hint="eastAsia" w:ascii="仿宋" w:hAnsi="仿宋" w:eastAsia="仿宋"/>
          <w:color w:val="000000"/>
          <w:sz w:val="24"/>
          <w:highlight w:val="none"/>
        </w:rPr>
        <w:t>项目提供合法、公正、公平的优质工程</w:t>
      </w:r>
      <w:r>
        <w:rPr>
          <w:rFonts w:hint="eastAsia" w:ascii="仿宋" w:hAnsi="仿宋" w:eastAsia="仿宋"/>
          <w:color w:val="000000"/>
          <w:sz w:val="24"/>
          <w:highlight w:val="none"/>
          <w:lang w:eastAsia="zh-CN"/>
        </w:rPr>
        <w:t>竣工财务决</w:t>
      </w:r>
      <w:r>
        <w:rPr>
          <w:rFonts w:hint="eastAsia" w:ascii="仿宋" w:hAnsi="仿宋" w:eastAsia="仿宋"/>
          <w:color w:val="000000"/>
          <w:sz w:val="24"/>
          <w:highlight w:val="none"/>
        </w:rPr>
        <w:t>算审计（审价）服务。</w:t>
      </w:r>
    </w:p>
    <w:p>
      <w:pPr>
        <w:numPr>
          <w:ilvl w:val="0"/>
          <w:numId w:val="0"/>
        </w:numPr>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2.审计内容：</w:t>
      </w:r>
      <w:r>
        <w:rPr>
          <w:rFonts w:hint="eastAsia" w:ascii="仿宋" w:hAnsi="仿宋" w:eastAsia="仿宋"/>
          <w:sz w:val="24"/>
          <w:highlight w:val="none"/>
          <w:lang w:val="en-US" w:eastAsia="zh-CN"/>
        </w:rPr>
        <w:t>计算完成五个建设项目所需的费用，包括建安工程投资、设备投资、待摊投资和其他投资等费用。分别出具反映基本建设工程的建设时间、投资情况、工程概预算执行情况、建设成果和财务状况的总结性文件。配合学校办理审计项目的固定资产转入及相关数据的整理。</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.审计费用：根据</w:t>
      </w:r>
      <w:r>
        <w:rPr>
          <w:rFonts w:hint="eastAsia" w:ascii="仿宋" w:hAnsi="仿宋" w:eastAsia="仿宋"/>
          <w:color w:val="auto"/>
          <w:sz w:val="24"/>
          <w:highlight w:val="none"/>
          <w:lang w:eastAsia="zh-CN"/>
        </w:rPr>
        <w:t>浙价服【</w:t>
      </w:r>
      <w:r>
        <w:rPr>
          <w:rFonts w:hint="eastAsia" w:ascii="仿宋" w:hAnsi="仿宋" w:eastAsia="仿宋"/>
          <w:color w:val="auto"/>
          <w:sz w:val="24"/>
          <w:highlight w:val="none"/>
          <w:lang w:val="en-US" w:eastAsia="zh-CN"/>
        </w:rPr>
        <w:t>2009</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84号文件规定</w:t>
      </w:r>
      <w:r>
        <w:rPr>
          <w:rFonts w:hint="eastAsia" w:ascii="仿宋" w:hAnsi="仿宋" w:eastAsia="仿宋"/>
          <w:color w:val="auto"/>
          <w:sz w:val="24"/>
          <w:highlight w:val="none"/>
        </w:rPr>
        <w:t>及</w:t>
      </w:r>
      <w:r>
        <w:rPr>
          <w:rFonts w:hint="eastAsia" w:ascii="仿宋" w:hAnsi="仿宋" w:eastAsia="仿宋"/>
          <w:color w:val="auto"/>
          <w:sz w:val="24"/>
          <w:highlight w:val="none"/>
          <w:lang w:eastAsia="zh-CN"/>
        </w:rPr>
        <w:t>本次招标</w:t>
      </w:r>
      <w:r>
        <w:rPr>
          <w:rFonts w:hint="eastAsia" w:ascii="仿宋" w:hAnsi="仿宋" w:eastAsia="仿宋"/>
          <w:color w:val="auto"/>
          <w:sz w:val="24"/>
          <w:highlight w:val="none"/>
        </w:rPr>
        <w:t>审计单位的</w:t>
      </w:r>
      <w:r>
        <w:rPr>
          <w:rFonts w:hint="eastAsia" w:ascii="仿宋" w:hAnsi="仿宋" w:eastAsia="仿宋"/>
          <w:color w:val="auto"/>
          <w:sz w:val="24"/>
          <w:highlight w:val="none"/>
          <w:lang w:eastAsia="zh-CN"/>
        </w:rPr>
        <w:t>优惠承诺</w:t>
      </w:r>
      <w:r>
        <w:rPr>
          <w:rFonts w:hint="eastAsia" w:ascii="仿宋" w:hAnsi="仿宋" w:eastAsia="仿宋"/>
          <w:color w:val="auto"/>
          <w:sz w:val="24"/>
          <w:highlight w:val="none"/>
        </w:rPr>
        <w:t>执行。</w:t>
      </w:r>
    </w:p>
    <w:p>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完成</w:t>
      </w:r>
      <w:r>
        <w:rPr>
          <w:rFonts w:hint="eastAsia" w:ascii="仿宋" w:hAnsi="仿宋" w:eastAsia="仿宋"/>
          <w:color w:val="auto"/>
          <w:sz w:val="24"/>
          <w:highlight w:val="none"/>
        </w:rPr>
        <w:t>期限： 201</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年</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月1日</w:t>
      </w:r>
      <w:r>
        <w:rPr>
          <w:rFonts w:hint="eastAsia" w:ascii="仿宋" w:hAnsi="仿宋" w:eastAsia="仿宋"/>
          <w:color w:val="auto"/>
          <w:sz w:val="24"/>
          <w:highlight w:val="none"/>
          <w:lang w:eastAsia="zh-CN"/>
        </w:rPr>
        <w:t>前</w:t>
      </w:r>
      <w:r>
        <w:rPr>
          <w:rFonts w:hint="eastAsia" w:ascii="仿宋" w:hAnsi="仿宋" w:eastAsia="仿宋"/>
          <w:color w:val="auto"/>
          <w:sz w:val="24"/>
          <w:highlight w:val="none"/>
        </w:rPr>
        <w:t>。</w:t>
      </w:r>
    </w:p>
    <w:p>
      <w:pPr>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5.报价要求：投标报价不得低于</w:t>
      </w:r>
      <w:r>
        <w:rPr>
          <w:rFonts w:hint="eastAsia" w:ascii="仿宋" w:hAnsi="仿宋" w:eastAsia="仿宋"/>
          <w:color w:val="auto"/>
          <w:sz w:val="24"/>
          <w:highlight w:val="none"/>
          <w:lang w:eastAsia="zh-CN"/>
        </w:rPr>
        <w:t>湖州市财政局发布的</w:t>
      </w:r>
      <w:r>
        <w:rPr>
          <w:rFonts w:hint="eastAsia" w:ascii="仿宋" w:hAnsi="仿宋" w:eastAsia="仿宋"/>
          <w:color w:val="auto"/>
          <w:sz w:val="24"/>
          <w:highlight w:val="none"/>
          <w:lang w:val="en-US" w:eastAsia="zh-CN"/>
        </w:rPr>
        <w:t>2018-2020年湖州市本级（含吴兴区、南浔区）会计审查等服务实施定点采购有关事宜的通知（以下简称“通知”）中承诺的优惠率。</w:t>
      </w:r>
    </w:p>
    <w:p>
      <w:pPr>
        <w:ind w:firstLine="482" w:firstLineChars="200"/>
        <w:rPr>
          <w:rFonts w:ascii="仿宋" w:hAnsi="仿宋" w:eastAsia="仿宋"/>
          <w:b/>
          <w:color w:val="000000"/>
          <w:sz w:val="24"/>
        </w:rPr>
      </w:pPr>
      <w:r>
        <w:rPr>
          <w:rFonts w:hint="eastAsia" w:ascii="仿宋" w:hAnsi="仿宋" w:eastAsia="仿宋"/>
          <w:b/>
          <w:color w:val="000000"/>
          <w:sz w:val="24"/>
        </w:rPr>
        <w:t>三、投标文件要求</w:t>
      </w:r>
    </w:p>
    <w:p>
      <w:pPr>
        <w:ind w:firstLine="480" w:firstLineChars="200"/>
        <w:rPr>
          <w:rFonts w:ascii="仿宋" w:hAnsi="仿宋" w:eastAsia="仿宋"/>
          <w:color w:val="000000"/>
          <w:sz w:val="24"/>
        </w:rPr>
      </w:pPr>
      <w:r>
        <w:rPr>
          <w:rFonts w:hint="eastAsia" w:ascii="仿宋" w:hAnsi="仿宋" w:eastAsia="仿宋"/>
          <w:color w:val="000000"/>
          <w:sz w:val="24"/>
        </w:rPr>
        <w:t>投标人的投标文件中应包含以下内容（投标文件密封，一式两份，一正一副，所有证件均须真实、有效，复印件均须加盖公章，缺少以下任意一项内容即作无效标处理）：</w:t>
      </w:r>
    </w:p>
    <w:p>
      <w:pPr>
        <w:ind w:firstLine="480" w:firstLineChars="200"/>
        <w:rPr>
          <w:rFonts w:ascii="仿宋" w:hAnsi="仿宋" w:eastAsia="仿宋"/>
          <w:color w:val="000000"/>
          <w:sz w:val="24"/>
        </w:rPr>
      </w:pPr>
      <w:r>
        <w:rPr>
          <w:rFonts w:hint="eastAsia" w:ascii="仿宋" w:hAnsi="仿宋" w:eastAsia="仿宋"/>
          <w:color w:val="000000"/>
          <w:sz w:val="24"/>
        </w:rPr>
        <w:t>1.投标报价清单：浙价服﹝2009﹞84号文件规定的计费标准*投标人</w:t>
      </w:r>
      <w:r>
        <w:rPr>
          <w:rFonts w:hint="eastAsia" w:ascii="仿宋" w:hAnsi="仿宋" w:eastAsia="仿宋"/>
          <w:color w:val="000000"/>
          <w:sz w:val="24"/>
          <w:lang w:eastAsia="zh-CN"/>
        </w:rPr>
        <w:t>优惠</w:t>
      </w:r>
      <w:r>
        <w:rPr>
          <w:rFonts w:hint="eastAsia" w:ascii="仿宋" w:hAnsi="仿宋" w:eastAsia="仿宋"/>
          <w:color w:val="000000"/>
          <w:sz w:val="24"/>
        </w:rPr>
        <w:t>率。</w:t>
      </w:r>
      <w:r>
        <w:rPr>
          <w:rFonts w:hint="eastAsia" w:ascii="仿宋" w:hAnsi="仿宋" w:eastAsia="仿宋"/>
          <w:color w:val="000000"/>
          <w:sz w:val="24"/>
          <w:lang w:eastAsia="zh-CN"/>
        </w:rPr>
        <w:t>投标报价不得低于“通知”中的承诺</w:t>
      </w:r>
      <w:r>
        <w:rPr>
          <w:rFonts w:hint="eastAsia" w:ascii="仿宋" w:hAnsi="仿宋" w:eastAsia="仿宋"/>
          <w:color w:val="000000"/>
          <w:sz w:val="24"/>
        </w:rPr>
        <w:t>；</w:t>
      </w:r>
      <w:r>
        <w:rPr>
          <w:rFonts w:hint="eastAsia" w:ascii="仿宋" w:hAnsi="仿宋" w:eastAsia="仿宋"/>
          <w:color w:val="000000"/>
          <w:sz w:val="24"/>
          <w:lang w:eastAsia="zh-CN"/>
        </w:rPr>
        <w:t>低于</w:t>
      </w:r>
      <w:r>
        <w:rPr>
          <w:rFonts w:hint="eastAsia" w:ascii="仿宋" w:hAnsi="仿宋" w:eastAsia="仿宋"/>
          <w:color w:val="000000"/>
          <w:sz w:val="24"/>
        </w:rPr>
        <w:t>作无效标处理。</w:t>
      </w:r>
      <w:r>
        <w:rPr>
          <w:rFonts w:hint="eastAsia" w:ascii="仿宋" w:hAnsi="仿宋" w:eastAsia="仿宋"/>
          <w:b/>
          <w:color w:val="000000"/>
          <w:sz w:val="24"/>
        </w:rPr>
        <w:t>投标报价清单必须单独密封</w:t>
      </w:r>
      <w:r>
        <w:rPr>
          <w:rFonts w:hint="eastAsia" w:ascii="仿宋" w:hAnsi="仿宋" w:eastAsia="仿宋"/>
          <w:color w:val="000000"/>
          <w:sz w:val="24"/>
        </w:rPr>
        <w:t>。</w:t>
      </w:r>
    </w:p>
    <w:p>
      <w:pPr>
        <w:ind w:firstLine="480" w:firstLineChars="200"/>
        <w:rPr>
          <w:rFonts w:ascii="仿宋" w:hAnsi="仿宋" w:eastAsia="仿宋"/>
          <w:color w:val="000000"/>
          <w:sz w:val="24"/>
        </w:rPr>
      </w:pPr>
      <w:r>
        <w:rPr>
          <w:rFonts w:hint="eastAsia" w:ascii="仿宋" w:hAnsi="仿宋" w:eastAsia="仿宋"/>
          <w:color w:val="000000"/>
          <w:sz w:val="24"/>
        </w:rPr>
        <w:t>投标人的报价应包含完成</w:t>
      </w:r>
      <w:r>
        <w:rPr>
          <w:rFonts w:hint="eastAsia" w:ascii="仿宋" w:hAnsi="仿宋" w:eastAsia="仿宋"/>
          <w:color w:val="000000"/>
          <w:sz w:val="24"/>
          <w:lang w:eastAsia="zh-CN"/>
        </w:rPr>
        <w:t>工程竣工财务决算</w:t>
      </w:r>
      <w:r>
        <w:rPr>
          <w:rFonts w:hint="eastAsia" w:ascii="仿宋" w:hAnsi="仿宋" w:eastAsia="仿宋"/>
          <w:color w:val="000000"/>
          <w:sz w:val="24"/>
        </w:rPr>
        <w:t>审计服务内容所需的全部费用；中标后不得以任何理由调整报价或追加任何费用；</w:t>
      </w:r>
    </w:p>
    <w:p>
      <w:pPr>
        <w:ind w:firstLine="480" w:firstLineChars="200"/>
        <w:rPr>
          <w:rFonts w:ascii="仿宋" w:hAnsi="仿宋" w:eastAsia="仿宋"/>
          <w:color w:val="auto"/>
          <w:sz w:val="24"/>
        </w:rPr>
      </w:pPr>
      <w:r>
        <w:rPr>
          <w:rFonts w:hint="eastAsia" w:ascii="仿宋" w:hAnsi="仿宋" w:eastAsia="仿宋"/>
          <w:color w:val="auto"/>
          <w:sz w:val="24"/>
        </w:rPr>
        <w:t>2.投标人基本情况表；</w:t>
      </w:r>
    </w:p>
    <w:p>
      <w:pPr>
        <w:ind w:firstLine="480" w:firstLineChars="200"/>
        <w:rPr>
          <w:rFonts w:ascii="仿宋" w:hAnsi="仿宋" w:eastAsia="仿宋"/>
          <w:color w:val="auto"/>
          <w:sz w:val="24"/>
        </w:rPr>
      </w:pPr>
      <w:r>
        <w:rPr>
          <w:rFonts w:hint="eastAsia" w:ascii="仿宋" w:hAnsi="仿宋" w:eastAsia="仿宋"/>
          <w:color w:val="auto"/>
          <w:sz w:val="24"/>
        </w:rPr>
        <w:t>3.营业执照副本复印件；</w:t>
      </w:r>
    </w:p>
    <w:p>
      <w:pPr>
        <w:ind w:firstLine="360" w:firstLineChars="150"/>
        <w:rPr>
          <w:rFonts w:ascii="仿宋" w:hAnsi="仿宋" w:eastAsia="仿宋"/>
          <w:color w:val="auto"/>
          <w:sz w:val="24"/>
        </w:rPr>
      </w:pPr>
      <w:r>
        <w:rPr>
          <w:rFonts w:hint="eastAsia" w:ascii="仿宋" w:hAnsi="仿宋" w:eastAsia="仿宋"/>
          <w:color w:val="auto"/>
          <w:sz w:val="24"/>
        </w:rPr>
        <w:t xml:space="preserve"> 4.法定代表人授权书原件及身份证复印件、委托代理人身份证复印件;</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5.投标人</w:t>
      </w:r>
      <w:r>
        <w:rPr>
          <w:rFonts w:hint="eastAsia" w:ascii="仿宋" w:hAnsi="仿宋" w:eastAsia="仿宋"/>
          <w:bCs/>
          <w:color w:val="auto"/>
          <w:sz w:val="24"/>
          <w:highlight w:val="none"/>
        </w:rPr>
        <w:t>审计（审价）</w:t>
      </w:r>
      <w:r>
        <w:rPr>
          <w:rFonts w:hint="eastAsia" w:ascii="仿宋" w:hAnsi="仿宋" w:eastAsia="仿宋"/>
          <w:color w:val="auto"/>
          <w:sz w:val="24"/>
          <w:highlight w:val="none"/>
        </w:rPr>
        <w:t>人员名单；</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.拟参加工程结算审计（审价）人员表、相关资格证书复印件并提供人员在本单位的社保证明。</w:t>
      </w:r>
    </w:p>
    <w:p>
      <w:pPr>
        <w:ind w:firstLine="480" w:firstLineChars="200"/>
        <w:rPr>
          <w:rFonts w:ascii="仿宋" w:hAnsi="仿宋" w:eastAsia="仿宋"/>
          <w:color w:val="auto"/>
          <w:sz w:val="24"/>
        </w:rPr>
      </w:pPr>
      <w:r>
        <w:rPr>
          <w:rFonts w:hint="eastAsia" w:ascii="仿宋" w:hAnsi="仿宋" w:eastAsia="仿宋"/>
          <w:color w:val="auto"/>
          <w:sz w:val="24"/>
          <w:lang w:val="en-US" w:eastAsia="zh-CN"/>
        </w:rPr>
        <w:t>7</w:t>
      </w:r>
      <w:r>
        <w:rPr>
          <w:rFonts w:hint="eastAsia" w:ascii="仿宋" w:hAnsi="仿宋" w:eastAsia="仿宋"/>
          <w:color w:val="auto"/>
          <w:sz w:val="24"/>
        </w:rPr>
        <w:t>.工程</w:t>
      </w:r>
      <w:r>
        <w:rPr>
          <w:rFonts w:hint="eastAsia" w:ascii="仿宋" w:hAnsi="仿宋" w:eastAsia="仿宋"/>
          <w:color w:val="auto"/>
          <w:sz w:val="24"/>
          <w:lang w:eastAsia="zh-CN"/>
        </w:rPr>
        <w:t>竣工财务决</w:t>
      </w:r>
      <w:r>
        <w:rPr>
          <w:rFonts w:hint="eastAsia" w:ascii="仿宋" w:hAnsi="仿宋" w:eastAsia="仿宋"/>
          <w:color w:val="auto"/>
          <w:sz w:val="24"/>
        </w:rPr>
        <w:t>算</w:t>
      </w:r>
      <w:r>
        <w:rPr>
          <w:rFonts w:hint="eastAsia" w:ascii="仿宋" w:hAnsi="仿宋" w:eastAsia="仿宋"/>
          <w:bCs/>
          <w:color w:val="auto"/>
          <w:sz w:val="24"/>
        </w:rPr>
        <w:t>审计（审价）</w:t>
      </w:r>
      <w:r>
        <w:rPr>
          <w:rFonts w:hint="eastAsia" w:ascii="仿宋" w:hAnsi="仿宋" w:eastAsia="仿宋"/>
          <w:color w:val="auto"/>
          <w:sz w:val="24"/>
        </w:rPr>
        <w:t>服务承诺书，包括审计质量承诺、审计时限承诺等；</w:t>
      </w:r>
    </w:p>
    <w:p>
      <w:pPr>
        <w:ind w:firstLine="480" w:firstLineChars="200"/>
        <w:rPr>
          <w:rFonts w:ascii="仿宋" w:hAnsi="仿宋" w:eastAsia="仿宋"/>
          <w:color w:val="auto"/>
          <w:sz w:val="24"/>
        </w:rPr>
      </w:pPr>
      <w:r>
        <w:rPr>
          <w:rFonts w:hint="eastAsia" w:ascii="仿宋" w:hAnsi="仿宋" w:eastAsia="仿宋"/>
          <w:color w:val="auto"/>
          <w:sz w:val="24"/>
          <w:lang w:val="en-US" w:eastAsia="zh-CN"/>
        </w:rPr>
        <w:t>8</w:t>
      </w:r>
      <w:r>
        <w:rPr>
          <w:rFonts w:hint="eastAsia" w:ascii="仿宋" w:hAnsi="仿宋" w:eastAsia="仿宋"/>
          <w:color w:val="auto"/>
          <w:sz w:val="24"/>
        </w:rPr>
        <w:t>.工程</w:t>
      </w:r>
      <w:r>
        <w:rPr>
          <w:rFonts w:hint="eastAsia" w:ascii="仿宋" w:hAnsi="仿宋" w:eastAsia="仿宋"/>
          <w:color w:val="auto"/>
          <w:sz w:val="24"/>
          <w:lang w:eastAsia="zh-CN"/>
        </w:rPr>
        <w:t>竣工财务决</w:t>
      </w:r>
      <w:r>
        <w:rPr>
          <w:rFonts w:hint="eastAsia" w:ascii="仿宋" w:hAnsi="仿宋" w:eastAsia="仿宋"/>
          <w:color w:val="auto"/>
          <w:sz w:val="24"/>
        </w:rPr>
        <w:t>算</w:t>
      </w:r>
      <w:r>
        <w:rPr>
          <w:rFonts w:hint="eastAsia" w:ascii="仿宋" w:hAnsi="仿宋" w:eastAsia="仿宋"/>
          <w:bCs/>
          <w:color w:val="auto"/>
          <w:sz w:val="24"/>
        </w:rPr>
        <w:t>审计（审价）</w:t>
      </w:r>
      <w:r>
        <w:rPr>
          <w:rFonts w:hint="eastAsia" w:ascii="仿宋" w:hAnsi="仿宋" w:eastAsia="仿宋"/>
          <w:color w:val="auto"/>
          <w:sz w:val="24"/>
        </w:rPr>
        <w:t>廉政承诺书；</w:t>
      </w:r>
    </w:p>
    <w:p>
      <w:pPr>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hint="eastAsia" w:ascii="仿宋" w:hAnsi="仿宋" w:eastAsia="仿宋"/>
          <w:color w:val="auto"/>
          <w:sz w:val="24"/>
        </w:rPr>
        <w:t>.工程</w:t>
      </w:r>
      <w:r>
        <w:rPr>
          <w:rFonts w:hint="eastAsia" w:ascii="仿宋" w:hAnsi="仿宋" w:eastAsia="仿宋"/>
          <w:color w:val="auto"/>
          <w:sz w:val="24"/>
          <w:lang w:eastAsia="zh-CN"/>
        </w:rPr>
        <w:t>竣工财务决</w:t>
      </w:r>
      <w:r>
        <w:rPr>
          <w:rFonts w:hint="eastAsia" w:ascii="仿宋" w:hAnsi="仿宋" w:eastAsia="仿宋"/>
          <w:color w:val="auto"/>
          <w:sz w:val="24"/>
        </w:rPr>
        <w:t>算审计（审价）服务方案，包含审计团队配置；</w:t>
      </w:r>
    </w:p>
    <w:p>
      <w:pPr>
        <w:ind w:firstLine="480" w:firstLineChars="200"/>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lang w:val="en-US" w:eastAsia="zh-CN"/>
        </w:rPr>
        <w:t>0</w:t>
      </w:r>
      <w:r>
        <w:rPr>
          <w:rFonts w:hint="eastAsia" w:ascii="仿宋" w:hAnsi="仿宋" w:eastAsia="仿宋"/>
          <w:color w:val="auto"/>
          <w:sz w:val="24"/>
        </w:rPr>
        <w:t xml:space="preserve">.其他：如企业信誉（荣誉）等需要说明的数据或资料。 </w:t>
      </w:r>
    </w:p>
    <w:p>
      <w:pPr>
        <w:ind w:firstLine="482" w:firstLineChars="200"/>
        <w:rPr>
          <w:rFonts w:ascii="仿宋" w:hAnsi="仿宋" w:eastAsia="仿宋"/>
          <w:b/>
          <w:color w:val="auto"/>
          <w:sz w:val="24"/>
        </w:rPr>
      </w:pPr>
      <w:r>
        <w:rPr>
          <w:rFonts w:hint="eastAsia" w:ascii="仿宋" w:hAnsi="仿宋" w:eastAsia="仿宋"/>
          <w:b/>
          <w:color w:val="auto"/>
          <w:sz w:val="24"/>
        </w:rPr>
        <w:t>四、投标文件递交及开标时间</w:t>
      </w:r>
    </w:p>
    <w:p>
      <w:pPr>
        <w:ind w:firstLine="480" w:firstLineChars="200"/>
        <w:rPr>
          <w:rFonts w:ascii="仿宋" w:hAnsi="仿宋" w:eastAsia="仿宋"/>
          <w:color w:val="auto"/>
          <w:sz w:val="24"/>
        </w:rPr>
      </w:pPr>
      <w:r>
        <w:rPr>
          <w:rFonts w:hint="eastAsia" w:ascii="仿宋" w:hAnsi="仿宋" w:eastAsia="仿宋"/>
          <w:color w:val="auto"/>
          <w:sz w:val="24"/>
        </w:rPr>
        <w:t>1.开标时间：201</w:t>
      </w:r>
      <w:r>
        <w:rPr>
          <w:rFonts w:hint="eastAsia" w:ascii="仿宋" w:hAnsi="仿宋" w:eastAsia="仿宋"/>
          <w:color w:val="auto"/>
          <w:sz w:val="24"/>
          <w:lang w:val="en-US" w:eastAsia="zh-CN"/>
        </w:rPr>
        <w:t>9</w:t>
      </w:r>
      <w:r>
        <w:rPr>
          <w:rFonts w:hint="eastAsia" w:ascii="仿宋" w:hAnsi="仿宋" w:eastAsia="仿宋"/>
          <w:color w:val="auto"/>
          <w:sz w:val="24"/>
        </w:rPr>
        <w:t>年</w:t>
      </w:r>
      <w:r>
        <w:rPr>
          <w:rFonts w:hint="eastAsia" w:ascii="仿宋" w:hAnsi="仿宋" w:eastAsia="仿宋"/>
          <w:color w:val="auto"/>
          <w:sz w:val="24"/>
          <w:lang w:val="en-US" w:eastAsia="zh-CN"/>
        </w:rPr>
        <w:t>7</w:t>
      </w:r>
      <w:r>
        <w:rPr>
          <w:rFonts w:hint="eastAsia" w:ascii="仿宋" w:hAnsi="仿宋" w:eastAsia="仿宋"/>
          <w:color w:val="auto"/>
          <w:sz w:val="24"/>
        </w:rPr>
        <w:t>月</w:t>
      </w:r>
      <w:r>
        <w:rPr>
          <w:rFonts w:hint="eastAsia" w:ascii="仿宋" w:hAnsi="仿宋" w:eastAsia="仿宋"/>
          <w:color w:val="auto"/>
          <w:sz w:val="24"/>
          <w:lang w:val="en-US" w:eastAsia="zh-CN"/>
        </w:rPr>
        <w:t>1</w:t>
      </w:r>
      <w:r>
        <w:rPr>
          <w:rFonts w:hint="eastAsia" w:ascii="仿宋" w:hAnsi="仿宋" w:eastAsia="仿宋"/>
          <w:color w:val="auto"/>
          <w:sz w:val="24"/>
        </w:rPr>
        <w:t>5日上午</w:t>
      </w:r>
      <w:r>
        <w:rPr>
          <w:rFonts w:hint="eastAsia" w:ascii="仿宋" w:hAnsi="仿宋" w:eastAsia="仿宋"/>
          <w:color w:val="auto"/>
          <w:sz w:val="24"/>
          <w:lang w:val="en-US" w:eastAsia="zh-CN"/>
        </w:rPr>
        <w:t>10</w:t>
      </w:r>
      <w:r>
        <w:rPr>
          <w:rFonts w:hint="eastAsia" w:ascii="仿宋" w:hAnsi="仿宋" w:eastAsia="仿宋"/>
          <w:color w:val="auto"/>
          <w:sz w:val="24"/>
        </w:rPr>
        <w:t>:30；。</w:t>
      </w:r>
    </w:p>
    <w:p>
      <w:pPr>
        <w:ind w:firstLine="480" w:firstLineChars="200"/>
        <w:rPr>
          <w:rFonts w:ascii="仿宋" w:hAnsi="仿宋" w:eastAsia="仿宋"/>
          <w:color w:val="auto"/>
          <w:sz w:val="24"/>
        </w:rPr>
      </w:pPr>
      <w:r>
        <w:rPr>
          <w:rFonts w:hint="eastAsia" w:ascii="仿宋" w:hAnsi="仿宋" w:eastAsia="仿宋"/>
          <w:color w:val="auto"/>
          <w:sz w:val="24"/>
        </w:rPr>
        <w:t>2.开标地点：浙江省湖州市二环东路759号湖州师范学院明达楼202室；</w:t>
      </w:r>
    </w:p>
    <w:p>
      <w:pPr>
        <w:ind w:firstLine="480" w:firstLineChars="200"/>
        <w:rPr>
          <w:rFonts w:ascii="仿宋" w:hAnsi="仿宋" w:eastAsia="仿宋"/>
          <w:color w:val="auto"/>
          <w:sz w:val="24"/>
        </w:rPr>
      </w:pPr>
      <w:r>
        <w:rPr>
          <w:rFonts w:hint="eastAsia" w:ascii="仿宋" w:hAnsi="仿宋" w:eastAsia="仿宋"/>
          <w:color w:val="auto"/>
          <w:sz w:val="24"/>
        </w:rPr>
        <w:t>3.联系人：徐老师；</w:t>
      </w:r>
    </w:p>
    <w:p>
      <w:pPr>
        <w:ind w:firstLine="480" w:firstLineChars="200"/>
        <w:rPr>
          <w:rFonts w:ascii="仿宋" w:hAnsi="仿宋" w:eastAsia="仿宋"/>
          <w:color w:val="000000"/>
          <w:sz w:val="24"/>
        </w:rPr>
      </w:pPr>
      <w:r>
        <w:rPr>
          <w:rFonts w:hint="eastAsia" w:ascii="仿宋" w:hAnsi="仿宋" w:eastAsia="仿宋"/>
          <w:color w:val="000000"/>
          <w:sz w:val="24"/>
        </w:rPr>
        <w:t>4.电话：2322188。</w:t>
      </w:r>
    </w:p>
    <w:p>
      <w:pPr>
        <w:ind w:firstLine="482" w:firstLineChars="200"/>
        <w:rPr>
          <w:rFonts w:ascii="仿宋" w:hAnsi="仿宋" w:eastAsia="仿宋"/>
          <w:b/>
          <w:color w:val="000000"/>
          <w:sz w:val="24"/>
        </w:rPr>
      </w:pPr>
      <w:r>
        <w:rPr>
          <w:rFonts w:hint="eastAsia" w:ascii="仿宋" w:hAnsi="仿宋" w:eastAsia="仿宋"/>
          <w:b/>
          <w:color w:val="000000"/>
          <w:sz w:val="24"/>
        </w:rPr>
        <w:t>（二）中标办法</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1.无特殊情况：</w:t>
      </w:r>
      <w:r>
        <w:rPr>
          <w:rFonts w:hint="eastAsia" w:ascii="仿宋" w:hAnsi="仿宋" w:eastAsia="仿宋"/>
          <w:color w:val="auto"/>
          <w:sz w:val="24"/>
          <w:highlight w:val="none"/>
          <w:lang w:eastAsia="zh-CN"/>
        </w:rPr>
        <w:t>根据投标人的报价</w:t>
      </w:r>
      <w:r>
        <w:rPr>
          <w:rFonts w:hint="eastAsia" w:ascii="仿宋" w:hAnsi="仿宋" w:eastAsia="仿宋"/>
          <w:color w:val="auto"/>
          <w:sz w:val="24"/>
          <w:highlight w:val="none"/>
        </w:rPr>
        <w:t>，由高到低排序，推荐成交人，最终经采购人审核及公示无异议后，确定成交人。</w:t>
      </w:r>
    </w:p>
    <w:p>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2.有特殊情况：若出现报价</w:t>
      </w:r>
      <w:r>
        <w:rPr>
          <w:rFonts w:hint="eastAsia" w:ascii="仿宋" w:hAnsi="仿宋" w:eastAsia="仿宋"/>
          <w:color w:val="auto"/>
          <w:sz w:val="24"/>
          <w:highlight w:val="none"/>
          <w:lang w:eastAsia="zh-CN"/>
        </w:rPr>
        <w:t>相</w:t>
      </w:r>
      <w:r>
        <w:rPr>
          <w:rFonts w:hint="eastAsia" w:ascii="仿宋" w:hAnsi="仿宋" w:eastAsia="仿宋"/>
          <w:color w:val="auto"/>
          <w:sz w:val="24"/>
          <w:highlight w:val="none"/>
        </w:rPr>
        <w:t>同，则根据抽签结果确定中标单位。</w:t>
      </w:r>
    </w:p>
    <w:p>
      <w:pPr>
        <w:spacing w:line="340" w:lineRule="exact"/>
        <w:ind w:firstLine="482" w:firstLineChars="200"/>
        <w:jc w:val="left"/>
        <w:rPr>
          <w:rFonts w:hint="eastAsia" w:ascii="仿宋" w:hAnsi="仿宋" w:eastAsia="仿宋"/>
          <w:b/>
          <w:bCs/>
          <w:color w:val="000000"/>
          <w:sz w:val="24"/>
          <w:lang w:eastAsia="zh-CN"/>
        </w:rPr>
      </w:pPr>
      <w:r>
        <w:rPr>
          <w:rFonts w:hint="eastAsia" w:ascii="仿宋" w:hAnsi="仿宋" w:eastAsia="仿宋"/>
          <w:b/>
          <w:bCs/>
          <w:color w:val="000000"/>
          <w:sz w:val="24"/>
        </w:rPr>
        <w:t>五、履约保证金及</w:t>
      </w:r>
      <w:r>
        <w:rPr>
          <w:rFonts w:hint="eastAsia" w:ascii="仿宋" w:hAnsi="仿宋" w:eastAsia="仿宋"/>
          <w:b/>
          <w:bCs/>
          <w:color w:val="000000"/>
          <w:sz w:val="24"/>
          <w:lang w:eastAsia="zh-CN"/>
        </w:rPr>
        <w:t>货款支付</w:t>
      </w:r>
    </w:p>
    <w:p>
      <w:pPr>
        <w:spacing w:line="340" w:lineRule="exact"/>
        <w:ind w:firstLine="480" w:firstLineChars="200"/>
        <w:jc w:val="left"/>
        <w:rPr>
          <w:rFonts w:ascii="仿宋" w:hAnsi="仿宋" w:eastAsia="仿宋"/>
          <w:sz w:val="24"/>
        </w:rPr>
      </w:pPr>
      <w:r>
        <w:rPr>
          <w:rFonts w:hint="eastAsia" w:ascii="仿宋" w:hAnsi="仿宋" w:eastAsia="仿宋"/>
          <w:sz w:val="24"/>
        </w:rPr>
        <w:t>中标人签订合同前应向采购人交纳</w:t>
      </w:r>
      <w:r>
        <w:rPr>
          <w:rFonts w:hint="eastAsia" w:ascii="仿宋" w:hAnsi="仿宋" w:eastAsia="仿宋"/>
          <w:sz w:val="24"/>
          <w:lang w:val="en-US" w:eastAsia="zh-CN"/>
        </w:rPr>
        <w:t>1万元</w:t>
      </w:r>
      <w:r>
        <w:rPr>
          <w:rFonts w:hint="eastAsia" w:ascii="仿宋" w:hAnsi="仿宋" w:eastAsia="仿宋"/>
          <w:sz w:val="24"/>
        </w:rPr>
        <w:t>履约保证金。履约保证金</w:t>
      </w:r>
      <w:r>
        <w:rPr>
          <w:rFonts w:hint="eastAsia" w:ascii="仿宋" w:hAnsi="仿宋" w:eastAsia="仿宋"/>
          <w:sz w:val="24"/>
          <w:lang w:eastAsia="zh-CN"/>
        </w:rPr>
        <w:t>自项目完全完成后（包含财产入库及财政局报批解释相关事项）</w:t>
      </w:r>
      <w:r>
        <w:rPr>
          <w:rFonts w:hint="eastAsia" w:ascii="仿宋" w:hAnsi="仿宋" w:eastAsia="仿宋"/>
          <w:sz w:val="24"/>
        </w:rPr>
        <w:t>无息退还。</w:t>
      </w:r>
    </w:p>
    <w:p>
      <w:pPr>
        <w:spacing w:line="340" w:lineRule="exact"/>
        <w:ind w:firstLine="482" w:firstLineChars="200"/>
        <w:jc w:val="left"/>
        <w:rPr>
          <w:rFonts w:ascii="仿宋" w:hAnsi="仿宋" w:eastAsia="仿宋"/>
          <w:b/>
          <w:sz w:val="24"/>
        </w:rPr>
      </w:pPr>
      <w:r>
        <w:rPr>
          <w:rFonts w:hint="eastAsia" w:ascii="仿宋" w:hAnsi="仿宋" w:eastAsia="仿宋"/>
          <w:b/>
          <w:sz w:val="24"/>
        </w:rPr>
        <w:t>采购人银行账户信息：单位名称：湖州师范学院；开户行：建行吴兴支行；账号：33001649335050002860。统一社会信用代码：123305004711725032。地址、电话：湖州市二环东路759号，0572-2321567。</w:t>
      </w:r>
    </w:p>
    <w:p>
      <w:pPr>
        <w:ind w:firstLine="480" w:firstLineChars="200"/>
        <w:rPr>
          <w:rFonts w:hint="eastAsia" w:ascii="仿宋" w:hAnsi="仿宋" w:eastAsia="仿宋"/>
          <w:color w:val="auto"/>
          <w:sz w:val="24"/>
          <w:highlight w:val="none"/>
        </w:rPr>
      </w:pPr>
    </w:p>
    <w:p>
      <w:pPr>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本项目货款自验收合格后</w:t>
      </w:r>
      <w:r>
        <w:rPr>
          <w:rFonts w:hint="eastAsia" w:ascii="仿宋" w:hAnsi="仿宋" w:eastAsia="仿宋"/>
          <w:b/>
          <w:color w:val="000000"/>
          <w:sz w:val="24"/>
          <w:highlight w:val="none"/>
        </w:rPr>
        <w:t>30</w:t>
      </w:r>
      <w:r>
        <w:rPr>
          <w:rFonts w:hint="eastAsia" w:ascii="仿宋" w:hAnsi="仿宋" w:eastAsia="仿宋"/>
          <w:color w:val="000000"/>
          <w:sz w:val="24"/>
          <w:highlight w:val="none"/>
        </w:rPr>
        <w:t>个工作日内全额支付。</w:t>
      </w:r>
      <w:bookmarkStart w:id="0" w:name="_GoBack"/>
      <w:bookmarkEnd w:id="0"/>
    </w:p>
    <w:p>
      <w:pPr>
        <w:ind w:firstLine="482" w:firstLineChars="200"/>
        <w:rPr>
          <w:rFonts w:ascii="仿宋" w:hAnsi="仿宋" w:eastAsia="仿宋"/>
          <w:b/>
          <w:color w:val="000000"/>
          <w:sz w:val="24"/>
        </w:rPr>
      </w:pPr>
      <w:r>
        <w:rPr>
          <w:rFonts w:hint="eastAsia" w:ascii="仿宋" w:hAnsi="仿宋" w:eastAsia="仿宋"/>
          <w:b/>
          <w:color w:val="000000"/>
          <w:sz w:val="24"/>
          <w:lang w:eastAsia="zh-CN"/>
        </w:rPr>
        <w:t>六</w:t>
      </w:r>
      <w:r>
        <w:rPr>
          <w:rFonts w:hint="eastAsia" w:ascii="仿宋" w:hAnsi="仿宋" w:eastAsia="仿宋"/>
          <w:b/>
          <w:color w:val="000000"/>
          <w:sz w:val="24"/>
        </w:rPr>
        <w:t>、服务期限和服务承诺</w:t>
      </w:r>
    </w:p>
    <w:p>
      <w:pPr>
        <w:ind w:firstLine="480" w:firstLineChars="200"/>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lang w:eastAsia="zh-CN"/>
        </w:rPr>
        <w:t>完工</w:t>
      </w:r>
      <w:r>
        <w:rPr>
          <w:rFonts w:hint="eastAsia" w:ascii="仿宋" w:hAnsi="仿宋" w:eastAsia="仿宋"/>
          <w:color w:val="000000"/>
          <w:sz w:val="24"/>
        </w:rPr>
        <w:t>期限：201</w:t>
      </w:r>
      <w:r>
        <w:rPr>
          <w:rFonts w:hint="eastAsia" w:ascii="仿宋" w:hAnsi="仿宋" w:eastAsia="仿宋"/>
          <w:color w:val="000000"/>
          <w:sz w:val="24"/>
          <w:lang w:val="en-US" w:eastAsia="zh-CN"/>
        </w:rPr>
        <w:t>9</w:t>
      </w:r>
      <w:r>
        <w:rPr>
          <w:rFonts w:hint="eastAsia" w:ascii="仿宋" w:hAnsi="仿宋" w:eastAsia="仿宋"/>
          <w:color w:val="000000"/>
          <w:sz w:val="24"/>
        </w:rPr>
        <w:t>年</w:t>
      </w:r>
      <w:r>
        <w:rPr>
          <w:rFonts w:hint="eastAsia" w:ascii="仿宋" w:hAnsi="仿宋" w:eastAsia="仿宋"/>
          <w:color w:val="000000"/>
          <w:sz w:val="24"/>
          <w:lang w:val="en-US" w:eastAsia="zh-CN"/>
        </w:rPr>
        <w:t>10</w:t>
      </w:r>
      <w:r>
        <w:rPr>
          <w:rFonts w:hint="eastAsia" w:ascii="仿宋" w:hAnsi="仿宋" w:eastAsia="仿宋"/>
          <w:color w:val="000000"/>
          <w:sz w:val="24"/>
        </w:rPr>
        <w:t>月1日</w:t>
      </w:r>
      <w:r>
        <w:rPr>
          <w:rFonts w:hint="eastAsia" w:ascii="仿宋" w:hAnsi="仿宋" w:eastAsia="仿宋"/>
          <w:color w:val="000000"/>
          <w:sz w:val="24"/>
          <w:lang w:eastAsia="zh-CN"/>
        </w:rPr>
        <w:t>前</w:t>
      </w:r>
      <w:r>
        <w:rPr>
          <w:rFonts w:hint="eastAsia" w:ascii="仿宋" w:hAnsi="仿宋" w:eastAsia="仿宋"/>
          <w:color w:val="000000"/>
          <w:sz w:val="24"/>
        </w:rPr>
        <w:t xml:space="preserve">。 </w:t>
      </w:r>
    </w:p>
    <w:p>
      <w:pPr>
        <w:ind w:firstLine="480" w:firstLineChars="200"/>
        <w:rPr>
          <w:rFonts w:ascii="仿宋" w:hAnsi="仿宋" w:eastAsia="仿宋"/>
          <w:color w:val="000000"/>
          <w:sz w:val="24"/>
        </w:rPr>
      </w:pPr>
      <w:r>
        <w:rPr>
          <w:rFonts w:hint="eastAsia" w:ascii="仿宋" w:hAnsi="仿宋" w:eastAsia="仿宋"/>
          <w:color w:val="000000"/>
          <w:sz w:val="24"/>
        </w:rPr>
        <w:t>2.服务承诺：（1）差错率承诺.（2）审核时限性承诺。</w:t>
      </w:r>
    </w:p>
    <w:p>
      <w:pPr>
        <w:ind w:firstLine="5760" w:firstLineChars="2400"/>
        <w:rPr>
          <w:rFonts w:ascii="仿宋" w:hAnsi="仿宋" w:eastAsia="仿宋"/>
          <w:color w:val="000000"/>
          <w:sz w:val="24"/>
        </w:rPr>
      </w:pPr>
      <w:r>
        <w:rPr>
          <w:rFonts w:hint="eastAsia" w:ascii="仿宋" w:hAnsi="仿宋" w:eastAsia="仿宋"/>
          <w:color w:val="000000"/>
          <w:sz w:val="24"/>
        </w:rPr>
        <w:t>湖州师范学院采购管理中心</w:t>
      </w:r>
    </w:p>
    <w:p>
      <w:pPr>
        <w:ind w:firstLine="480" w:firstLineChars="200"/>
        <w:rPr>
          <w:rFonts w:hint="eastAsia" w:ascii="仿宋" w:hAnsi="仿宋" w:eastAsia="仿宋"/>
          <w:color w:val="000000"/>
          <w:sz w:val="24"/>
        </w:rPr>
      </w:pPr>
      <w:r>
        <w:rPr>
          <w:rFonts w:hint="eastAsia" w:ascii="仿宋" w:hAnsi="仿宋" w:eastAsia="仿宋"/>
          <w:color w:val="000000"/>
          <w:sz w:val="24"/>
        </w:rPr>
        <w:t xml:space="preserve">                                                 201</w:t>
      </w:r>
      <w:r>
        <w:rPr>
          <w:rFonts w:hint="eastAsia" w:ascii="仿宋" w:hAnsi="仿宋" w:eastAsia="仿宋"/>
          <w:color w:val="000000"/>
          <w:sz w:val="24"/>
          <w:lang w:val="en-US" w:eastAsia="zh-CN"/>
        </w:rPr>
        <w:t>9</w:t>
      </w:r>
      <w:r>
        <w:rPr>
          <w:rFonts w:hint="eastAsia" w:ascii="仿宋" w:hAnsi="仿宋" w:eastAsia="仿宋"/>
          <w:color w:val="000000"/>
          <w:sz w:val="24"/>
        </w:rPr>
        <w:t>年</w:t>
      </w:r>
      <w:r>
        <w:rPr>
          <w:rFonts w:hint="eastAsia" w:ascii="仿宋" w:hAnsi="仿宋" w:eastAsia="仿宋"/>
          <w:color w:val="000000"/>
          <w:sz w:val="24"/>
          <w:lang w:val="en-US" w:eastAsia="zh-CN"/>
        </w:rPr>
        <w:t>7</w:t>
      </w:r>
      <w:r>
        <w:rPr>
          <w:rFonts w:hint="eastAsia" w:ascii="仿宋" w:hAnsi="仿宋" w:eastAsia="仿宋"/>
          <w:color w:val="000000"/>
          <w:sz w:val="24"/>
        </w:rPr>
        <w:t>月</w:t>
      </w:r>
      <w:r>
        <w:rPr>
          <w:rFonts w:hint="eastAsia" w:ascii="仿宋" w:hAnsi="仿宋" w:eastAsia="仿宋"/>
          <w:color w:val="000000"/>
          <w:sz w:val="24"/>
          <w:lang w:val="en-US" w:eastAsia="zh-CN"/>
        </w:rPr>
        <w:t>8</w:t>
      </w:r>
      <w:r>
        <w:rPr>
          <w:rFonts w:hint="eastAsia" w:ascii="仿宋" w:hAnsi="仿宋" w:eastAsia="仿宋"/>
          <w:color w:val="000000"/>
          <w:sz w:val="24"/>
        </w:rPr>
        <w:t>日</w:t>
      </w:r>
    </w:p>
    <w:p>
      <w:pPr>
        <w:ind w:firstLine="480" w:firstLineChars="200"/>
        <w:rPr>
          <w:rFonts w:hint="eastAsia" w:ascii="仿宋" w:hAnsi="仿宋" w:eastAsia="仿宋"/>
          <w:color w:val="000000"/>
          <w:sz w:val="24"/>
        </w:rPr>
      </w:pPr>
    </w:p>
    <w:p>
      <w:pPr>
        <w:ind w:firstLine="480" w:firstLineChars="200"/>
        <w:rPr>
          <w:rFonts w:hint="eastAsia" w:ascii="仿宋" w:hAnsi="仿宋" w:eastAsia="仿宋"/>
          <w:color w:val="000000"/>
          <w:sz w:val="24"/>
        </w:rPr>
      </w:pPr>
    </w:p>
    <w:p>
      <w:pPr>
        <w:ind w:firstLine="480" w:firstLineChars="200"/>
        <w:rPr>
          <w:rFonts w:hint="eastAsia" w:ascii="仿宋" w:hAnsi="仿宋" w:eastAsia="仿宋"/>
          <w:color w:val="000000"/>
          <w:sz w:val="24"/>
        </w:rPr>
      </w:pPr>
    </w:p>
    <w:p>
      <w:pPr>
        <w:spacing w:before="100" w:line="340" w:lineRule="exact"/>
        <w:jc w:val="left"/>
        <w:rPr>
          <w:rFonts w:hint="eastAsia" w:ascii="仿宋" w:hAnsi="仿宋" w:eastAsia="仿宋"/>
          <w:color w:val="000000"/>
          <w:sz w:val="24"/>
        </w:rPr>
      </w:pPr>
    </w:p>
    <w:p>
      <w:pPr>
        <w:spacing w:before="100" w:line="340" w:lineRule="exact"/>
        <w:jc w:val="left"/>
        <w:rPr>
          <w:rFonts w:hint="eastAsia" w:ascii="仿宋" w:hAnsi="仿宋" w:eastAsia="仿宋"/>
          <w:color w:val="000000"/>
          <w:sz w:val="24"/>
        </w:rPr>
      </w:pPr>
    </w:p>
    <w:p>
      <w:pPr>
        <w:spacing w:before="100" w:line="340" w:lineRule="exact"/>
        <w:jc w:val="left"/>
        <w:rPr>
          <w:rFonts w:hint="eastAsia" w:ascii="仿宋" w:hAnsi="仿宋" w:eastAsia="仿宋"/>
          <w:color w:val="000000"/>
          <w:sz w:val="24"/>
        </w:rPr>
      </w:pPr>
    </w:p>
    <w:p>
      <w:pPr>
        <w:spacing w:before="100" w:line="340" w:lineRule="exact"/>
        <w:jc w:val="left"/>
        <w:rPr>
          <w:rFonts w:hint="eastAsia" w:ascii="仿宋" w:hAnsi="仿宋" w:eastAsia="仿宋"/>
          <w:color w:val="000000"/>
          <w:sz w:val="24"/>
        </w:rPr>
      </w:pPr>
    </w:p>
    <w:p>
      <w:pPr>
        <w:spacing w:before="100" w:line="340" w:lineRule="exact"/>
        <w:jc w:val="left"/>
        <w:rPr>
          <w:rFonts w:hint="eastAsia" w:ascii="仿宋" w:hAnsi="仿宋" w:eastAsia="仿宋"/>
          <w:color w:val="000000"/>
          <w:sz w:val="24"/>
        </w:rPr>
      </w:pPr>
    </w:p>
    <w:p>
      <w:pPr>
        <w:spacing w:before="100" w:line="340" w:lineRule="exact"/>
        <w:jc w:val="left"/>
        <w:rPr>
          <w:rFonts w:hint="eastAsia" w:ascii="仿宋" w:hAnsi="仿宋" w:eastAsia="仿宋"/>
          <w:color w:val="000000"/>
          <w:sz w:val="24"/>
        </w:rPr>
      </w:pPr>
    </w:p>
    <w:p>
      <w:pPr>
        <w:spacing w:before="100" w:line="340" w:lineRule="exact"/>
        <w:jc w:val="left"/>
        <w:rPr>
          <w:rFonts w:hint="eastAsia" w:ascii="仿宋" w:hAnsi="仿宋" w:eastAsia="仿宋"/>
          <w:color w:val="000000"/>
          <w:sz w:val="24"/>
        </w:rPr>
      </w:pPr>
    </w:p>
    <w:p>
      <w:pPr>
        <w:spacing w:before="100" w:line="340" w:lineRule="exact"/>
        <w:jc w:val="left"/>
        <w:rPr>
          <w:rFonts w:hint="eastAsia" w:ascii="仿宋" w:hAnsi="仿宋" w:eastAsia="仿宋"/>
          <w:color w:val="000000"/>
          <w:sz w:val="24"/>
        </w:rPr>
      </w:pPr>
    </w:p>
    <w:p>
      <w:pPr>
        <w:spacing w:before="100" w:line="340" w:lineRule="exact"/>
        <w:jc w:val="left"/>
        <w:rPr>
          <w:rFonts w:hint="eastAsia" w:ascii="仿宋" w:hAnsi="仿宋" w:eastAsia="仿宋"/>
          <w:color w:val="000000"/>
          <w:sz w:val="24"/>
        </w:rPr>
      </w:pPr>
    </w:p>
    <w:p>
      <w:pPr>
        <w:spacing w:before="100" w:line="340" w:lineRule="exact"/>
        <w:jc w:val="left"/>
        <w:rPr>
          <w:rFonts w:hint="eastAsia" w:ascii="仿宋" w:hAnsi="仿宋" w:eastAsia="仿宋"/>
          <w:color w:val="000000"/>
          <w:sz w:val="24"/>
        </w:rPr>
      </w:pPr>
    </w:p>
    <w:p>
      <w:pPr>
        <w:spacing w:before="100" w:line="340" w:lineRule="exact"/>
        <w:jc w:val="left"/>
        <w:rPr>
          <w:rFonts w:hint="eastAsia" w:ascii="仿宋" w:hAnsi="仿宋" w:eastAsia="仿宋"/>
          <w:color w:val="000000"/>
          <w:sz w:val="24"/>
        </w:rPr>
      </w:pPr>
    </w:p>
    <w:p>
      <w:pPr>
        <w:spacing w:before="100" w:line="340" w:lineRule="exact"/>
        <w:jc w:val="left"/>
        <w:rPr>
          <w:rFonts w:hint="eastAsia" w:ascii="仿宋" w:hAnsi="仿宋" w:eastAsia="仿宋"/>
          <w:b/>
          <w:color w:val="000000"/>
          <w:sz w:val="36"/>
          <w:szCs w:val="36"/>
        </w:rPr>
      </w:pPr>
      <w:r>
        <w:rPr>
          <w:rFonts w:hint="eastAsia" w:ascii="仿宋" w:hAnsi="仿宋" w:eastAsia="仿宋"/>
          <w:color w:val="000000"/>
          <w:sz w:val="24"/>
        </w:rPr>
        <w:t>附件：投标报价清单：</w:t>
      </w:r>
    </w:p>
    <w:p>
      <w:pPr>
        <w:spacing w:before="100" w:line="340" w:lineRule="exact"/>
        <w:ind w:firstLine="723" w:firstLineChars="200"/>
        <w:jc w:val="center"/>
        <w:rPr>
          <w:rFonts w:hint="eastAsia" w:ascii="仿宋" w:hAnsi="仿宋" w:eastAsia="仿宋"/>
          <w:b/>
          <w:color w:val="000000"/>
          <w:sz w:val="36"/>
          <w:szCs w:val="36"/>
        </w:rPr>
      </w:pPr>
    </w:p>
    <w:p>
      <w:pPr>
        <w:spacing w:before="100" w:line="340" w:lineRule="exact"/>
        <w:ind w:firstLine="723" w:firstLineChars="200"/>
        <w:jc w:val="center"/>
        <w:rPr>
          <w:rFonts w:ascii="仿宋" w:hAnsi="仿宋" w:eastAsia="仿宋"/>
          <w:b/>
          <w:color w:val="000000"/>
          <w:sz w:val="36"/>
          <w:szCs w:val="36"/>
        </w:rPr>
      </w:pPr>
      <w:r>
        <w:rPr>
          <w:rFonts w:hint="eastAsia" w:ascii="仿宋" w:hAnsi="仿宋" w:eastAsia="仿宋"/>
          <w:b/>
          <w:color w:val="000000"/>
          <w:sz w:val="36"/>
          <w:szCs w:val="36"/>
        </w:rPr>
        <w:t>投标报价清单</w:t>
      </w:r>
    </w:p>
    <w:p>
      <w:pPr>
        <w:spacing w:before="100" w:line="340" w:lineRule="exact"/>
        <w:ind w:firstLine="482" w:firstLineChars="200"/>
        <w:jc w:val="center"/>
        <w:rPr>
          <w:rFonts w:ascii="仿宋" w:hAnsi="仿宋" w:eastAsia="仿宋"/>
          <w:b/>
          <w:color w:val="000000"/>
          <w:sz w:val="24"/>
        </w:rPr>
      </w:pPr>
    </w:p>
    <w:p>
      <w:pPr>
        <w:spacing w:line="340" w:lineRule="exact"/>
        <w:jc w:val="left"/>
        <w:rPr>
          <w:rFonts w:ascii="仿宋" w:hAnsi="仿宋" w:eastAsia="仿宋" w:cs="宋体"/>
          <w:b/>
          <w:bCs/>
          <w:color w:val="000000"/>
          <w:kern w:val="0"/>
          <w:sz w:val="24"/>
        </w:rPr>
      </w:pPr>
      <w:r>
        <w:rPr>
          <w:rFonts w:hint="eastAsia" w:ascii="仿宋" w:hAnsi="仿宋" w:eastAsia="仿宋"/>
          <w:color w:val="000000"/>
          <w:sz w:val="24"/>
        </w:rPr>
        <w:t>项目名称：</w:t>
      </w:r>
      <w:r>
        <w:rPr>
          <w:rFonts w:hint="eastAsia" w:ascii="仿宋" w:hAnsi="仿宋" w:eastAsia="仿宋" w:cs="宋体"/>
          <w:b/>
          <w:bCs/>
          <w:color w:val="000000"/>
          <w:kern w:val="0"/>
          <w:sz w:val="24"/>
          <w:szCs w:val="24"/>
          <w:u w:val="single"/>
        </w:rPr>
        <w:t>湖州师范学院数字图书馆等五个项目工程竣工财务决算审计服务机构准入项目</w:t>
      </w:r>
    </w:p>
    <w:p>
      <w:pPr>
        <w:spacing w:line="340" w:lineRule="exact"/>
        <w:jc w:val="left"/>
        <w:rPr>
          <w:rFonts w:hint="default" w:ascii="仿宋" w:hAnsi="仿宋" w:eastAsia="仿宋"/>
          <w:b/>
          <w:color w:val="000000"/>
          <w:sz w:val="24"/>
          <w:lang w:val="en-US" w:eastAsia="zh-CN"/>
        </w:rPr>
      </w:pPr>
      <w:r>
        <w:rPr>
          <w:rFonts w:hint="eastAsia" w:ascii="仿宋" w:hAnsi="仿宋" w:eastAsia="仿宋"/>
          <w:color w:val="000000"/>
          <w:sz w:val="24"/>
        </w:rPr>
        <w:t>项目编号：</w:t>
      </w:r>
      <w:r>
        <w:rPr>
          <w:rFonts w:hint="eastAsia" w:ascii="仿宋" w:hAnsi="仿宋" w:eastAsia="仿宋"/>
          <w:b/>
          <w:color w:val="000000"/>
          <w:sz w:val="24"/>
        </w:rPr>
        <w:t>XZ2019-2</w:t>
      </w:r>
      <w:r>
        <w:rPr>
          <w:rFonts w:hint="eastAsia" w:ascii="仿宋" w:hAnsi="仿宋" w:eastAsia="仿宋"/>
          <w:b/>
          <w:color w:val="000000"/>
          <w:sz w:val="24"/>
          <w:lang w:val="en-US" w:eastAsia="zh-CN"/>
        </w:rPr>
        <w:t>63</w:t>
      </w:r>
    </w:p>
    <w:p>
      <w:pPr>
        <w:spacing w:line="340" w:lineRule="exact"/>
        <w:jc w:val="left"/>
        <w:rPr>
          <w:rFonts w:ascii="仿宋" w:hAnsi="仿宋" w:eastAsia="仿宋"/>
          <w:color w:val="000000"/>
          <w:sz w:val="24"/>
        </w:rPr>
      </w:pPr>
    </w:p>
    <w:tbl>
      <w:tblPr>
        <w:tblStyle w:val="4"/>
        <w:tblW w:w="9110" w:type="dxa"/>
        <w:tblInd w:w="103" w:type="dxa"/>
        <w:tblLayout w:type="fixed"/>
        <w:tblCellMar>
          <w:top w:w="0" w:type="dxa"/>
          <w:left w:w="108" w:type="dxa"/>
          <w:bottom w:w="0" w:type="dxa"/>
          <w:right w:w="108" w:type="dxa"/>
        </w:tblCellMar>
      </w:tblPr>
      <w:tblGrid>
        <w:gridCol w:w="405"/>
        <w:gridCol w:w="5225"/>
        <w:gridCol w:w="3480"/>
      </w:tblGrid>
      <w:tr>
        <w:tblPrEx>
          <w:tblLayout w:type="fixed"/>
          <w:tblCellMar>
            <w:top w:w="0" w:type="dxa"/>
            <w:left w:w="108" w:type="dxa"/>
            <w:bottom w:w="0" w:type="dxa"/>
            <w:right w:w="108" w:type="dxa"/>
          </w:tblCellMar>
        </w:tblPrEx>
        <w:trPr>
          <w:trHeight w:val="420" w:hRule="atLeast"/>
        </w:trPr>
        <w:tc>
          <w:tcPr>
            <w:tcW w:w="4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5225"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仿宋" w:hAnsi="仿宋" w:eastAsia="仿宋" w:cs="仿宋"/>
                <w:b/>
                <w:bCs/>
                <w:kern w:val="0"/>
                <w:sz w:val="24"/>
                <w:szCs w:val="24"/>
                <w:lang w:eastAsia="zh-CN"/>
              </w:rPr>
            </w:pPr>
          </w:p>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项目名称</w:t>
            </w:r>
          </w:p>
          <w:p>
            <w:pPr>
              <w:widowControl/>
              <w:jc w:val="center"/>
              <w:rPr>
                <w:rFonts w:hint="eastAsia" w:ascii="仿宋" w:hAnsi="仿宋" w:eastAsia="仿宋" w:cs="仿宋"/>
                <w:b/>
                <w:bCs/>
                <w:kern w:val="0"/>
                <w:sz w:val="24"/>
                <w:szCs w:val="24"/>
              </w:rPr>
            </w:pPr>
          </w:p>
        </w:tc>
        <w:tc>
          <w:tcPr>
            <w:tcW w:w="348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优惠率</w:t>
            </w:r>
          </w:p>
        </w:tc>
      </w:tr>
      <w:tr>
        <w:tblPrEx>
          <w:tblLayout w:type="fixed"/>
          <w:tblCellMar>
            <w:top w:w="0" w:type="dxa"/>
            <w:left w:w="108" w:type="dxa"/>
            <w:bottom w:w="0" w:type="dxa"/>
            <w:right w:w="108" w:type="dxa"/>
          </w:tblCellMar>
        </w:tblPrEx>
        <w:trPr>
          <w:trHeight w:val="420" w:hRule="atLeast"/>
        </w:trPr>
        <w:tc>
          <w:tcPr>
            <w:tcW w:w="4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仿宋" w:hAnsi="仿宋" w:eastAsia="仿宋" w:cs="仿宋"/>
                <w:b/>
                <w:bCs/>
                <w:kern w:val="0"/>
                <w:sz w:val="24"/>
                <w:szCs w:val="24"/>
              </w:rPr>
            </w:pPr>
          </w:p>
        </w:tc>
        <w:tc>
          <w:tcPr>
            <w:tcW w:w="5225"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val="0"/>
                <w:bCs w:val="0"/>
                <w:kern w:val="0"/>
                <w:sz w:val="24"/>
                <w:szCs w:val="24"/>
              </w:rPr>
              <w:t>湖州师范学院数字图书馆等五个项目工程竣工财务决算审计服务机构准入项目</w:t>
            </w:r>
          </w:p>
        </w:tc>
        <w:tc>
          <w:tcPr>
            <w:tcW w:w="348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仿宋" w:hAnsi="仿宋" w:eastAsia="仿宋" w:cs="仿宋"/>
                <w:b/>
                <w:bCs/>
                <w:kern w:val="0"/>
                <w:sz w:val="24"/>
                <w:szCs w:val="24"/>
                <w:lang w:eastAsia="zh-CN"/>
              </w:rPr>
            </w:pPr>
          </w:p>
        </w:tc>
      </w:tr>
    </w:tbl>
    <w:p>
      <w:pPr>
        <w:spacing w:line="360" w:lineRule="auto"/>
        <w:ind w:right="480"/>
        <w:rPr>
          <w:rFonts w:ascii="仿宋" w:hAnsi="仿宋" w:eastAsia="仿宋"/>
          <w:color w:val="000000"/>
          <w:sz w:val="24"/>
        </w:rPr>
      </w:pPr>
    </w:p>
    <w:p>
      <w:pPr>
        <w:spacing w:line="360" w:lineRule="auto"/>
        <w:ind w:right="480"/>
        <w:rPr>
          <w:rFonts w:ascii="仿宋" w:hAnsi="仿宋" w:eastAsia="仿宋"/>
          <w:color w:val="000000"/>
          <w:sz w:val="24"/>
        </w:rPr>
      </w:pPr>
    </w:p>
    <w:p>
      <w:pPr>
        <w:spacing w:line="360" w:lineRule="auto"/>
        <w:ind w:right="480" w:firstLine="4080" w:firstLineChars="1700"/>
        <w:rPr>
          <w:rFonts w:ascii="仿宋" w:hAnsi="仿宋" w:eastAsia="仿宋"/>
          <w:color w:val="000000"/>
          <w:sz w:val="24"/>
          <w:u w:val="single"/>
        </w:rPr>
      </w:pPr>
      <w:r>
        <w:rPr>
          <w:rFonts w:hint="eastAsia" w:ascii="仿宋" w:hAnsi="仿宋" w:eastAsia="仿宋"/>
          <w:color w:val="000000"/>
          <w:sz w:val="24"/>
        </w:rPr>
        <w:t xml:space="preserve"> 授权代表签字：</w:t>
      </w:r>
      <w:r>
        <w:rPr>
          <w:rFonts w:hint="eastAsia" w:ascii="仿宋" w:hAnsi="仿宋" w:eastAsia="仿宋"/>
          <w:color w:val="000000"/>
          <w:sz w:val="24"/>
          <w:u w:val="single"/>
        </w:rPr>
        <w:t xml:space="preserve">                     </w:t>
      </w:r>
    </w:p>
    <w:p>
      <w:pPr>
        <w:spacing w:line="360" w:lineRule="auto"/>
        <w:ind w:right="120" w:firstLine="4080" w:firstLineChars="1700"/>
        <w:jc w:val="left"/>
        <w:rPr>
          <w:rFonts w:ascii="仿宋" w:hAnsi="仿宋" w:eastAsia="仿宋"/>
          <w:color w:val="000000"/>
          <w:sz w:val="24"/>
          <w:u w:val="single"/>
        </w:rPr>
      </w:pPr>
      <w:r>
        <w:rPr>
          <w:rFonts w:hint="eastAsia" w:ascii="仿宋" w:hAnsi="仿宋" w:eastAsia="仿宋"/>
          <w:color w:val="000000"/>
          <w:sz w:val="24"/>
        </w:rPr>
        <w:t>投标人（盖章）：</w:t>
      </w:r>
      <w:r>
        <w:rPr>
          <w:rFonts w:hint="eastAsia" w:ascii="仿宋" w:hAnsi="仿宋" w:eastAsia="仿宋"/>
          <w:color w:val="000000"/>
          <w:sz w:val="24"/>
          <w:u w:val="single"/>
        </w:rPr>
        <w:t xml:space="preserve">                    </w:t>
      </w:r>
    </w:p>
    <w:p>
      <w:pPr>
        <w:spacing w:line="360" w:lineRule="auto"/>
        <w:ind w:firstLine="480" w:firstLineChars="200"/>
        <w:jc w:val="center"/>
        <w:rPr>
          <w:rFonts w:ascii="仿宋" w:hAnsi="仿宋" w:eastAsia="仿宋"/>
          <w:color w:val="000000"/>
          <w:sz w:val="24"/>
          <w:u w:val="single"/>
        </w:rPr>
      </w:pPr>
      <w:r>
        <w:rPr>
          <w:rFonts w:hint="eastAsia" w:ascii="仿宋" w:hAnsi="仿宋" w:eastAsia="仿宋"/>
          <w:color w:val="000000"/>
          <w:sz w:val="24"/>
        </w:rPr>
        <w:t xml:space="preserve">                                      2019年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
      <w:pPr>
        <w:ind w:firstLine="480" w:firstLineChars="200"/>
        <w:rPr>
          <w:rFonts w:hint="eastAsia" w:ascii="仿宋" w:hAnsi="仿宋" w:eastAsia="仿宋"/>
          <w:color w:val="000000"/>
          <w:sz w:val="24"/>
          <w:lang w:eastAsia="zh-CN"/>
        </w:rPr>
      </w:pPr>
    </w:p>
    <w:p>
      <w:pPr>
        <w:jc w:val="center"/>
        <w:rPr>
          <w:rFonts w:ascii="仿宋" w:hAnsi="仿宋" w:eastAsia="仿宋"/>
          <w:sz w:val="24"/>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6E19E"/>
    <w:multiLevelType w:val="singleLevel"/>
    <w:tmpl w:val="8816E1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3CFC"/>
    <w:rsid w:val="00005F39"/>
    <w:rsid w:val="0003596B"/>
    <w:rsid w:val="0004604C"/>
    <w:rsid w:val="0006604D"/>
    <w:rsid w:val="00094796"/>
    <w:rsid w:val="000A4963"/>
    <w:rsid w:val="000C6673"/>
    <w:rsid w:val="000D747F"/>
    <w:rsid w:val="000E69F7"/>
    <w:rsid w:val="000E78EC"/>
    <w:rsid w:val="00103FCD"/>
    <w:rsid w:val="00110F87"/>
    <w:rsid w:val="00126715"/>
    <w:rsid w:val="001659D3"/>
    <w:rsid w:val="00173F81"/>
    <w:rsid w:val="001F547F"/>
    <w:rsid w:val="001F5F32"/>
    <w:rsid w:val="00221AF8"/>
    <w:rsid w:val="00245FB7"/>
    <w:rsid w:val="002A21A3"/>
    <w:rsid w:val="003418E9"/>
    <w:rsid w:val="00352893"/>
    <w:rsid w:val="00356654"/>
    <w:rsid w:val="0036020C"/>
    <w:rsid w:val="003905B2"/>
    <w:rsid w:val="003A758B"/>
    <w:rsid w:val="003D7E52"/>
    <w:rsid w:val="003E69C5"/>
    <w:rsid w:val="004215DB"/>
    <w:rsid w:val="00462050"/>
    <w:rsid w:val="00486639"/>
    <w:rsid w:val="004A228F"/>
    <w:rsid w:val="004D6A8F"/>
    <w:rsid w:val="004F2F6B"/>
    <w:rsid w:val="004F7D08"/>
    <w:rsid w:val="00543115"/>
    <w:rsid w:val="005D771E"/>
    <w:rsid w:val="005E4D11"/>
    <w:rsid w:val="00614DE7"/>
    <w:rsid w:val="006404FE"/>
    <w:rsid w:val="00691400"/>
    <w:rsid w:val="00695E65"/>
    <w:rsid w:val="006B25D6"/>
    <w:rsid w:val="006D638F"/>
    <w:rsid w:val="0075676F"/>
    <w:rsid w:val="00771AAC"/>
    <w:rsid w:val="007A6A59"/>
    <w:rsid w:val="007D65FE"/>
    <w:rsid w:val="007E37BC"/>
    <w:rsid w:val="008F0DEA"/>
    <w:rsid w:val="00912C09"/>
    <w:rsid w:val="009360D0"/>
    <w:rsid w:val="00962461"/>
    <w:rsid w:val="00993CFC"/>
    <w:rsid w:val="009C791E"/>
    <w:rsid w:val="009D167B"/>
    <w:rsid w:val="009F13DD"/>
    <w:rsid w:val="00A90D3F"/>
    <w:rsid w:val="00AB7C2A"/>
    <w:rsid w:val="00AE4730"/>
    <w:rsid w:val="00B12F8E"/>
    <w:rsid w:val="00B14EC9"/>
    <w:rsid w:val="00BD5DE5"/>
    <w:rsid w:val="00BE040A"/>
    <w:rsid w:val="00C51926"/>
    <w:rsid w:val="00C53890"/>
    <w:rsid w:val="00C61AB1"/>
    <w:rsid w:val="00CA155F"/>
    <w:rsid w:val="00CA79F8"/>
    <w:rsid w:val="00CE4E17"/>
    <w:rsid w:val="00CF191D"/>
    <w:rsid w:val="00D32165"/>
    <w:rsid w:val="00D84284"/>
    <w:rsid w:val="00D910D6"/>
    <w:rsid w:val="00DB5F0B"/>
    <w:rsid w:val="00DF6863"/>
    <w:rsid w:val="00E6433A"/>
    <w:rsid w:val="00E70EBA"/>
    <w:rsid w:val="00E713A4"/>
    <w:rsid w:val="00E80B0D"/>
    <w:rsid w:val="00EF0438"/>
    <w:rsid w:val="00F23841"/>
    <w:rsid w:val="00F2412F"/>
    <w:rsid w:val="00FE33E0"/>
    <w:rsid w:val="00FF0D36"/>
    <w:rsid w:val="1B8C1A78"/>
    <w:rsid w:val="25C85244"/>
    <w:rsid w:val="284C46F7"/>
    <w:rsid w:val="42213E96"/>
    <w:rsid w:val="481031BC"/>
    <w:rsid w:val="54CC5BF3"/>
    <w:rsid w:val="7A9E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570</Words>
  <Characters>3251</Characters>
  <Lines>27</Lines>
  <Paragraphs>7</Paragraphs>
  <TotalTime>3</TotalTime>
  <ScaleCrop>false</ScaleCrop>
  <LinksUpToDate>false</LinksUpToDate>
  <CharactersWithSpaces>3814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2017-03-09T00:20:00Z</dcterms:created>
  <dc:creator>微软用户</dc:creator>
  <cp:lastModifiedBy>pc120</cp:lastModifiedBy>
  <dcterms:modified xsi:type="dcterms:W3CDTF">2016-06-20T13:24:16Z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