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pacing w:val="-30"/>
          <w:sz w:val="36"/>
          <w:szCs w:val="36"/>
          <w:lang w:eastAsia="zh-CN"/>
        </w:rPr>
      </w:pPr>
      <w:r>
        <w:rPr>
          <w:rFonts w:hint="eastAsia" w:asciiTheme="majorEastAsia" w:hAnsiTheme="majorEastAsia" w:eastAsiaTheme="majorEastAsia"/>
          <w:b/>
          <w:color w:val="000000" w:themeColor="text1"/>
          <w:spacing w:val="-30"/>
          <w:sz w:val="36"/>
          <w:szCs w:val="36"/>
          <w:lang w:eastAsia="zh-CN"/>
        </w:rPr>
        <w:t>湖州师范学院图书馆存包柜扩容采购项目</w:t>
      </w:r>
    </w:p>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lang w:eastAsia="zh-CN"/>
        </w:rPr>
        <w:t>湖州师范学院图书馆存包柜扩容采购项目</w:t>
      </w:r>
    </w:p>
    <w:p>
      <w:pPr>
        <w:ind w:firstLine="480" w:firstLineChars="200"/>
        <w:jc w:val="left"/>
        <w:rPr>
          <w:rFonts w:hint="eastAsia" w:ascii="仿宋" w:hAnsi="仿宋" w:eastAsia="仿宋" w:cs="Times New Roman"/>
          <w:color w:val="000000" w:themeColor="text1"/>
          <w:sz w:val="24"/>
          <w:szCs w:val="24"/>
          <w:lang w:val="en-US" w:eastAsia="zh-CN"/>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lang w:eastAsia="zh-CN"/>
        </w:rPr>
        <w:t>XZ2020-151</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jc w:val="both"/>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5.采购预算：</w:t>
      </w:r>
      <w:r>
        <w:rPr>
          <w:rFonts w:hint="eastAsia" w:ascii="仿宋" w:hAnsi="仿宋" w:eastAsia="仿宋"/>
          <w:sz w:val="24"/>
        </w:rPr>
        <w:t>人民币</w:t>
      </w:r>
      <w:r>
        <w:rPr>
          <w:rFonts w:hint="eastAsia" w:ascii="仿宋" w:hAnsi="仿宋" w:eastAsia="仿宋"/>
          <w:sz w:val="24"/>
          <w:lang w:eastAsia="zh-CN"/>
        </w:rPr>
        <w:t>壹</w:t>
      </w:r>
      <w:r>
        <w:rPr>
          <w:rFonts w:hint="eastAsia" w:ascii="仿宋" w:hAnsi="仿宋" w:eastAsia="仿宋"/>
          <w:sz w:val="24"/>
        </w:rPr>
        <w:t>拾</w:t>
      </w:r>
      <w:r>
        <w:rPr>
          <w:rFonts w:hint="eastAsia" w:ascii="仿宋" w:hAnsi="仿宋" w:eastAsia="仿宋"/>
          <w:sz w:val="24"/>
          <w:lang w:eastAsia="zh-CN"/>
        </w:rPr>
        <w:t>柒</w:t>
      </w:r>
      <w:r>
        <w:rPr>
          <w:rFonts w:hint="eastAsia" w:ascii="仿宋" w:hAnsi="仿宋" w:eastAsia="仿宋"/>
          <w:sz w:val="24"/>
        </w:rPr>
        <w:t>万</w:t>
      </w:r>
      <w:r>
        <w:rPr>
          <w:rFonts w:hint="eastAsia" w:ascii="仿宋" w:hAnsi="仿宋" w:eastAsia="仿宋"/>
          <w:sz w:val="24"/>
          <w:lang w:eastAsia="zh-CN"/>
        </w:rPr>
        <w:t>伍</w:t>
      </w:r>
      <w:r>
        <w:rPr>
          <w:rFonts w:hint="eastAsia" w:ascii="仿宋" w:hAnsi="仿宋" w:eastAsia="仿宋"/>
          <w:sz w:val="24"/>
        </w:rPr>
        <w:t>仟</w:t>
      </w:r>
      <w:r>
        <w:rPr>
          <w:rFonts w:hint="eastAsia" w:ascii="仿宋" w:hAnsi="仿宋" w:eastAsia="仿宋"/>
          <w:sz w:val="24"/>
          <w:lang w:eastAsia="zh-CN"/>
        </w:rPr>
        <w:t>肆</w:t>
      </w:r>
      <w:r>
        <w:rPr>
          <w:rFonts w:hint="eastAsia" w:ascii="仿宋" w:hAnsi="仿宋" w:eastAsia="仿宋"/>
          <w:sz w:val="24"/>
        </w:rPr>
        <w:t>佰元</w:t>
      </w:r>
      <w:r>
        <w:rPr>
          <w:rFonts w:hint="eastAsia" w:ascii="仿宋" w:hAnsi="仿宋" w:eastAsia="仿宋"/>
          <w:sz w:val="24"/>
          <w:lang w:eastAsia="zh-CN"/>
        </w:rPr>
        <w:t>整</w:t>
      </w:r>
      <w:r>
        <w:rPr>
          <w:rFonts w:hint="eastAsia" w:ascii="仿宋" w:hAnsi="仿宋" w:eastAsia="仿宋"/>
          <w:sz w:val="24"/>
        </w:rPr>
        <w:t>（￥</w:t>
      </w:r>
      <w:r>
        <w:rPr>
          <w:rFonts w:hint="eastAsia" w:ascii="仿宋" w:hAnsi="仿宋" w:eastAsia="仿宋"/>
          <w:sz w:val="24"/>
          <w:lang w:val="en-US" w:eastAsia="zh-CN"/>
        </w:rPr>
        <w:t>175400.00</w:t>
      </w:r>
      <w:r>
        <w:rPr>
          <w:rFonts w:hint="eastAsia" w:ascii="仿宋" w:hAnsi="仿宋" w:eastAsia="仿宋"/>
          <w:sz w:val="24"/>
        </w:rPr>
        <w:t>元）</w:t>
      </w:r>
    </w:p>
    <w:p>
      <w:pPr>
        <w:ind w:firstLine="480" w:firstLineChars="200"/>
        <w:jc w:val="left"/>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p>
    <w:tbl>
      <w:tblPr>
        <w:tblStyle w:val="9"/>
        <w:tblW w:w="85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73"/>
        <w:gridCol w:w="1973"/>
        <w:gridCol w:w="3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3" w:type="dxa"/>
            <w:vAlign w:val="center"/>
          </w:tcPr>
          <w:p>
            <w:pPr>
              <w:jc w:val="center"/>
              <w:rPr>
                <w:rFonts w:ascii="仿宋" w:hAnsi="仿宋" w:eastAsia="仿宋"/>
                <w:b/>
                <w:sz w:val="24"/>
              </w:rPr>
            </w:pPr>
            <w:r>
              <w:rPr>
                <w:rFonts w:hint="eastAsia" w:ascii="仿宋" w:hAnsi="仿宋" w:eastAsia="仿宋"/>
                <w:b/>
                <w:sz w:val="24"/>
              </w:rPr>
              <w:t>项目名称</w:t>
            </w:r>
          </w:p>
        </w:tc>
        <w:tc>
          <w:tcPr>
            <w:tcW w:w="1973" w:type="dxa"/>
            <w:vAlign w:val="center"/>
          </w:tcPr>
          <w:p>
            <w:pPr>
              <w:jc w:val="center"/>
              <w:rPr>
                <w:rFonts w:ascii="仿宋" w:hAnsi="仿宋" w:eastAsia="仿宋"/>
                <w:b/>
                <w:sz w:val="24"/>
              </w:rPr>
            </w:pPr>
            <w:r>
              <w:rPr>
                <w:rFonts w:hint="eastAsia" w:ascii="仿宋" w:hAnsi="仿宋" w:eastAsia="仿宋"/>
                <w:b/>
                <w:sz w:val="24"/>
              </w:rPr>
              <w:t>采购数量</w:t>
            </w:r>
          </w:p>
        </w:tc>
        <w:tc>
          <w:tcPr>
            <w:tcW w:w="3891" w:type="dxa"/>
            <w:vAlign w:val="center"/>
          </w:tcPr>
          <w:p>
            <w:pPr>
              <w:jc w:val="center"/>
              <w:rPr>
                <w:rFonts w:hint="eastAsia" w:ascii="仿宋" w:hAnsi="仿宋" w:eastAsia="仿宋"/>
                <w:b/>
                <w:sz w:val="24"/>
                <w:lang w:eastAsia="zh-CN"/>
              </w:rPr>
            </w:pPr>
            <w:r>
              <w:rPr>
                <w:rFonts w:hint="eastAsia" w:ascii="仿宋" w:hAnsi="仿宋" w:eastAsia="仿宋"/>
                <w:b/>
                <w:sz w:val="24"/>
                <w:lang w:eastAsia="zh-CN"/>
              </w:rPr>
              <w:t>具体采购需求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3" w:type="dxa"/>
            <w:vAlign w:val="center"/>
          </w:tcPr>
          <w:p>
            <w:pPr>
              <w:jc w:val="center"/>
              <w:rPr>
                <w:rFonts w:hint="eastAsia" w:ascii="仿宋" w:hAnsi="仿宋" w:eastAsia="仿宋"/>
                <w:sz w:val="24"/>
                <w:lang w:eastAsia="zh-CN"/>
              </w:rPr>
            </w:pPr>
            <w:r>
              <w:rPr>
                <w:rFonts w:hint="eastAsia" w:ascii="仿宋" w:hAnsi="仿宋" w:eastAsia="仿宋"/>
                <w:sz w:val="24"/>
                <w:szCs w:val="24"/>
                <w:lang w:eastAsia="zh-CN"/>
              </w:rPr>
              <w:t>湖州师范学院图书馆存包柜扩容采购项目</w:t>
            </w:r>
          </w:p>
        </w:tc>
        <w:tc>
          <w:tcPr>
            <w:tcW w:w="1973" w:type="dxa"/>
            <w:vAlign w:val="center"/>
          </w:tcPr>
          <w:p>
            <w:pPr>
              <w:jc w:val="center"/>
              <w:rPr>
                <w:rFonts w:hint="eastAsia" w:ascii="仿宋" w:hAnsi="仿宋" w:eastAsia="仿宋"/>
                <w:sz w:val="24"/>
                <w:lang w:val="en-US" w:eastAsia="zh-CN"/>
              </w:rPr>
            </w:pPr>
            <w:r>
              <w:rPr>
                <w:rFonts w:hint="eastAsia" w:ascii="仿宋" w:hAnsi="仿宋" w:eastAsia="仿宋"/>
                <w:b/>
                <w:bCs/>
                <w:sz w:val="24"/>
                <w:szCs w:val="24"/>
                <w:lang w:val="en-US" w:eastAsia="zh-CN"/>
              </w:rPr>
              <w:t>1项</w:t>
            </w:r>
          </w:p>
        </w:tc>
        <w:tc>
          <w:tcPr>
            <w:tcW w:w="3891" w:type="dxa"/>
            <w:vAlign w:val="center"/>
          </w:tcPr>
          <w:p>
            <w:pPr>
              <w:jc w:val="center"/>
              <w:rPr>
                <w:rFonts w:hint="default" w:ascii="仿宋" w:hAnsi="仿宋" w:eastAsia="仿宋"/>
                <w:sz w:val="24"/>
                <w:lang w:val="en-US" w:eastAsia="zh-CN"/>
              </w:rPr>
            </w:pPr>
            <w:r>
              <w:rPr>
                <w:rFonts w:hint="eastAsia" w:ascii="仿宋" w:hAnsi="仿宋" w:eastAsia="仿宋"/>
                <w:sz w:val="24"/>
                <w:lang w:eastAsia="zh-CN"/>
              </w:rPr>
              <w:t>详见</w:t>
            </w:r>
            <w:r>
              <w:rPr>
                <w:rFonts w:hint="eastAsia" w:ascii="仿宋" w:hAnsi="仿宋" w:eastAsia="仿宋"/>
                <w:b/>
                <w:bCs/>
                <w:sz w:val="24"/>
                <w:lang w:eastAsia="zh-CN"/>
              </w:rPr>
              <w:t>附件</w:t>
            </w:r>
            <w:r>
              <w:rPr>
                <w:rFonts w:hint="eastAsia" w:ascii="仿宋" w:hAnsi="仿宋" w:eastAsia="仿宋"/>
                <w:b/>
                <w:bCs/>
                <w:sz w:val="24"/>
                <w:lang w:val="en-US" w:eastAsia="zh-CN"/>
              </w:rPr>
              <w:t>1</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注1：</w:t>
      </w:r>
      <w:r>
        <w:rPr>
          <w:rFonts w:hint="eastAsia" w:ascii="仿宋" w:hAnsi="仿宋" w:eastAsia="仿宋" w:cs="Times New Roman"/>
          <w:color w:val="000000" w:themeColor="text1"/>
          <w:sz w:val="24"/>
          <w:szCs w:val="24"/>
        </w:rPr>
        <w:t>▲</w:t>
      </w:r>
      <w:r>
        <w:rPr>
          <w:rFonts w:hint="eastAsia" w:ascii="仿宋" w:hAnsi="仿宋" w:eastAsia="仿宋" w:cs="Times New Roman"/>
          <w:b/>
          <w:color w:val="000000" w:themeColor="text1"/>
          <w:sz w:val="24"/>
          <w:szCs w:val="24"/>
        </w:rPr>
        <w:t>采购预算为最高限价，投标人报价超出采购预算为无效报价。▲技术参数为不可偏离指标，负偏离作无效标处理。</w:t>
      </w:r>
    </w:p>
    <w:p>
      <w:pPr>
        <w:spacing w:line="240" w:lineRule="auto"/>
        <w:ind w:firstLine="482" w:firstLineChars="200"/>
        <w:rPr>
          <w:rFonts w:hint="eastAsia" w:ascii="仿宋" w:hAnsi="仿宋" w:eastAsia="仿宋"/>
          <w:b/>
          <w:color w:val="000000" w:themeColor="text1"/>
          <w:sz w:val="24"/>
          <w:szCs w:val="24"/>
        </w:rPr>
      </w:pPr>
      <w:r>
        <w:rPr>
          <w:rFonts w:hint="eastAsia" w:ascii="仿宋" w:hAnsi="仿宋" w:eastAsia="仿宋" w:cs="Times New Roman"/>
          <w:b/>
          <w:color w:val="000000" w:themeColor="text1"/>
          <w:sz w:val="24"/>
          <w:szCs w:val="24"/>
        </w:rPr>
        <w:t>注2：</w:t>
      </w:r>
      <w:r>
        <w:rPr>
          <w:rFonts w:hint="eastAsia" w:ascii="仿宋" w:hAnsi="仿宋" w:eastAsia="仿宋"/>
          <w:b/>
          <w:color w:val="000000" w:themeColor="text1"/>
          <w:sz w:val="24"/>
          <w:szCs w:val="24"/>
        </w:rPr>
        <w:t>本项目采购预算合</w:t>
      </w:r>
      <w:r>
        <w:rPr>
          <w:rFonts w:hint="eastAsia" w:ascii="仿宋" w:hAnsi="仿宋" w:eastAsia="仿宋"/>
          <w:b/>
          <w:color w:val="000000" w:themeColor="text1"/>
          <w:sz w:val="24"/>
          <w:szCs w:val="24"/>
          <w:lang w:eastAsia="zh-CN"/>
        </w:rPr>
        <w:t>包含</w:t>
      </w:r>
      <w:r>
        <w:rPr>
          <w:rFonts w:hint="eastAsia" w:ascii="仿宋" w:hAnsi="仿宋" w:eastAsia="仿宋"/>
          <w:b/>
          <w:color w:val="000000" w:themeColor="text1"/>
          <w:sz w:val="24"/>
          <w:szCs w:val="24"/>
        </w:rPr>
        <w:t>税金、</w:t>
      </w:r>
      <w:r>
        <w:rPr>
          <w:rFonts w:hint="eastAsia" w:ascii="仿宋" w:hAnsi="仿宋" w:eastAsia="仿宋"/>
          <w:b/>
          <w:color w:val="000000" w:themeColor="text1"/>
          <w:sz w:val="24"/>
          <w:szCs w:val="24"/>
          <w:lang w:eastAsia="zh-CN"/>
        </w:rPr>
        <w:t>配件、</w:t>
      </w:r>
      <w:r>
        <w:rPr>
          <w:rFonts w:hint="eastAsia" w:ascii="仿宋" w:hAnsi="仿宋" w:eastAsia="仿宋"/>
          <w:b/>
          <w:color w:val="000000" w:themeColor="text1"/>
          <w:sz w:val="24"/>
          <w:szCs w:val="24"/>
        </w:rPr>
        <w:t>运输、加工、装卸、</w:t>
      </w:r>
      <w:r>
        <w:rPr>
          <w:rFonts w:hint="eastAsia" w:ascii="仿宋" w:hAnsi="仿宋" w:eastAsia="仿宋"/>
          <w:b/>
          <w:color w:val="000000" w:themeColor="text1"/>
          <w:sz w:val="24"/>
          <w:szCs w:val="24"/>
          <w:lang w:eastAsia="zh-CN"/>
        </w:rPr>
        <w:t>安装、调试</w:t>
      </w:r>
      <w:r>
        <w:rPr>
          <w:rFonts w:hint="eastAsia" w:ascii="仿宋" w:hAnsi="仿宋" w:eastAsia="仿宋"/>
          <w:b/>
          <w:color w:val="000000" w:themeColor="text1"/>
          <w:sz w:val="24"/>
          <w:szCs w:val="24"/>
        </w:rPr>
        <w:t>及售后服务等一切费用。</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auto"/>
          <w:sz w:val="24"/>
          <w:szCs w:val="24"/>
        </w:rPr>
      </w:pPr>
      <w:r>
        <w:rPr>
          <w:rFonts w:hint="eastAsia" w:ascii="仿宋" w:hAnsi="仿宋" w:eastAsia="仿宋"/>
          <w:b/>
          <w:color w:val="000000" w:themeColor="text1"/>
          <w:sz w:val="24"/>
          <w:szCs w:val="24"/>
        </w:rPr>
        <w:t>注</w:t>
      </w:r>
      <w:r>
        <w:rPr>
          <w:rFonts w:hint="eastAsia" w:ascii="仿宋" w:hAnsi="仿宋" w:eastAsia="仿宋"/>
          <w:b/>
          <w:color w:val="000000" w:themeColor="text1"/>
          <w:sz w:val="24"/>
          <w:szCs w:val="24"/>
          <w:lang w:val="en-US" w:eastAsia="zh-CN"/>
        </w:rPr>
        <w:t>3</w:t>
      </w:r>
      <w:r>
        <w:rPr>
          <w:rFonts w:hint="eastAsia" w:ascii="仿宋" w:hAnsi="仿宋" w:eastAsia="仿宋"/>
          <w:b/>
          <w:color w:val="000000" w:themeColor="text1"/>
          <w:sz w:val="24"/>
          <w:szCs w:val="24"/>
        </w:rPr>
        <w:t>：中标人提供的产品必须是符合国家质量标准及安全标准的全新合格产品。</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 w:hAnsi="仿宋" w:eastAsia="仿宋"/>
          <w:b/>
          <w:color w:val="auto"/>
          <w:sz w:val="24"/>
          <w:szCs w:val="24"/>
        </w:rPr>
      </w:pPr>
      <w:r>
        <w:rPr>
          <w:rFonts w:hint="eastAsia" w:ascii="仿宋" w:hAnsi="仿宋" w:eastAsia="仿宋"/>
          <w:b/>
          <w:color w:val="auto"/>
          <w:sz w:val="24"/>
          <w:szCs w:val="24"/>
        </w:rPr>
        <w:t>注</w:t>
      </w:r>
      <w:r>
        <w:rPr>
          <w:rFonts w:hint="eastAsia" w:ascii="仿宋" w:hAnsi="仿宋" w:eastAsia="仿宋"/>
          <w:b/>
          <w:color w:val="auto"/>
          <w:sz w:val="24"/>
          <w:szCs w:val="24"/>
          <w:lang w:val="en-US" w:eastAsia="zh-CN"/>
        </w:rPr>
        <w:t>4</w:t>
      </w:r>
      <w:r>
        <w:rPr>
          <w:rFonts w:hint="eastAsia" w:ascii="仿宋" w:hAnsi="仿宋" w:eastAsia="仿宋"/>
          <w:b/>
          <w:color w:val="auto"/>
          <w:sz w:val="24"/>
          <w:szCs w:val="24"/>
        </w:rPr>
        <w:t>：</w:t>
      </w:r>
      <w:r>
        <w:rPr>
          <w:rFonts w:hint="eastAsia" w:ascii="仿宋" w:hAnsi="仿宋" w:eastAsia="仿宋"/>
          <w:b/>
          <w:color w:val="auto"/>
          <w:sz w:val="24"/>
          <w:szCs w:val="24"/>
          <w:lang w:eastAsia="zh-CN"/>
        </w:rPr>
        <w:t>如需</w:t>
      </w:r>
      <w:r>
        <w:rPr>
          <w:rFonts w:hint="eastAsia" w:ascii="仿宋" w:hAnsi="仿宋" w:eastAsia="仿宋"/>
          <w:b/>
          <w:color w:val="auto"/>
          <w:sz w:val="24"/>
          <w:szCs w:val="24"/>
        </w:rPr>
        <w:t>项目安装施工</w:t>
      </w:r>
      <w:r>
        <w:rPr>
          <w:rFonts w:hint="eastAsia" w:ascii="仿宋" w:hAnsi="仿宋" w:eastAsia="仿宋"/>
          <w:b/>
          <w:color w:val="auto"/>
          <w:sz w:val="24"/>
          <w:szCs w:val="24"/>
          <w:lang w:eastAsia="zh-CN"/>
        </w:rPr>
        <w:t>的，相关工</w:t>
      </w:r>
      <w:r>
        <w:rPr>
          <w:rFonts w:hint="eastAsia" w:ascii="仿宋" w:hAnsi="仿宋" w:eastAsia="仿宋"/>
          <w:b/>
          <w:color w:val="auto"/>
          <w:sz w:val="24"/>
          <w:szCs w:val="24"/>
        </w:rPr>
        <w:t>人必须按照国家相关规定持证上岗，如因无证上岗引起的安全事故由中标人承担全部法律责任。</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auto"/>
          <w:sz w:val="24"/>
          <w:szCs w:val="24"/>
        </w:rPr>
      </w:pPr>
      <w:r>
        <w:rPr>
          <w:rFonts w:hint="eastAsia" w:ascii="仿宋" w:hAnsi="仿宋" w:eastAsia="仿宋"/>
          <w:b/>
          <w:color w:val="auto"/>
          <w:sz w:val="24"/>
          <w:szCs w:val="24"/>
        </w:rPr>
        <w:t>二、投标文件要求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olor w:val="000000" w:themeColor="text1"/>
          <w:sz w:val="24"/>
          <w:szCs w:val="24"/>
        </w:rPr>
      </w:pPr>
      <w:r>
        <w:rPr>
          <w:rFonts w:hint="eastAsia" w:ascii="仿宋" w:hAnsi="仿宋" w:eastAsia="仿宋"/>
          <w:color w:val="000000" w:themeColor="text1"/>
          <w:sz w:val="24"/>
          <w:szCs w:val="24"/>
        </w:rPr>
        <w:t>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color w:val="000000" w:themeColor="text1"/>
          <w:sz w:val="24"/>
          <w:szCs w:val="24"/>
          <w:lang w:eastAsia="zh-CN"/>
        </w:rPr>
        <w:t>见附件</w:t>
      </w:r>
      <w:r>
        <w:rPr>
          <w:rFonts w:hint="eastAsia" w:ascii="仿宋" w:hAnsi="仿宋" w:eastAsia="仿宋"/>
          <w:color w:val="000000" w:themeColor="text1"/>
          <w:sz w:val="24"/>
          <w:szCs w:val="24"/>
          <w:lang w:val="en-US" w:eastAsia="zh-CN"/>
        </w:rPr>
        <w:t>2</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6</w:t>
      </w:r>
      <w:r>
        <w:rPr>
          <w:rFonts w:hint="eastAsia" w:ascii="仿宋" w:hAnsi="仿宋" w:eastAsia="仿宋"/>
          <w:color w:val="000000" w:themeColor="text1"/>
          <w:sz w:val="24"/>
          <w:szCs w:val="24"/>
        </w:rPr>
        <w:t>.其他相关证明材料</w:t>
      </w:r>
      <w:r>
        <w:rPr>
          <w:rFonts w:hint="eastAsia" w:ascii="仿宋" w:hAnsi="仿宋" w:eastAsia="仿宋" w:cs="仿宋_GB2312"/>
          <w:color w:val="000000" w:themeColor="text1"/>
          <w:sz w:val="24"/>
        </w:rPr>
        <w:t>（</w:t>
      </w:r>
      <w:r>
        <w:rPr>
          <w:rFonts w:hint="eastAsia" w:ascii="仿宋" w:hAnsi="仿宋" w:eastAsia="仿宋" w:cs="仿宋_GB2312"/>
          <w:color w:val="000000" w:themeColor="text1"/>
          <w:sz w:val="24"/>
          <w:lang w:eastAsia="zh-CN"/>
        </w:rPr>
        <w:t>如</w:t>
      </w:r>
      <w:r>
        <w:rPr>
          <w:rFonts w:hint="eastAsia" w:ascii="仿宋" w:hAnsi="仿宋" w:eastAsia="仿宋" w:cs="仿宋_GB2312"/>
          <w:color w:val="000000" w:themeColor="text1"/>
          <w:sz w:val="24"/>
          <w:lang w:val="en-US" w:eastAsia="zh-CN"/>
        </w:rPr>
        <w:t>:</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7</w:t>
      </w:r>
      <w:r>
        <w:rPr>
          <w:rFonts w:hint="eastAsia" w:ascii="仿宋" w:hAnsi="仿宋" w:eastAsia="仿宋"/>
          <w:color w:val="000000" w:themeColor="text1"/>
          <w:sz w:val="24"/>
          <w:szCs w:val="24"/>
        </w:rPr>
        <w:t>.</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1.开标时间：2020年</w:t>
      </w:r>
      <w:r>
        <w:rPr>
          <w:rFonts w:hint="eastAsia" w:ascii="仿宋" w:hAnsi="仿宋" w:eastAsia="仿宋"/>
          <w:color w:val="000000" w:themeColor="text1"/>
          <w:sz w:val="24"/>
          <w:szCs w:val="24"/>
          <w:lang w:val="en-US" w:eastAsia="zh-CN"/>
        </w:rPr>
        <w:t>11</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16</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lang w:eastAsia="zh-CN"/>
        </w:rPr>
        <w:t>下午</w:t>
      </w:r>
      <w:r>
        <w:rPr>
          <w:rFonts w:hint="eastAsia" w:ascii="仿宋" w:hAnsi="仿宋" w:eastAsia="仿宋"/>
          <w:color w:val="000000" w:themeColor="text1"/>
          <w:sz w:val="24"/>
          <w:szCs w:val="24"/>
        </w:rPr>
        <w:t>1</w:t>
      </w:r>
      <w:r>
        <w:rPr>
          <w:rFonts w:hint="eastAsia" w:ascii="仿宋" w:hAnsi="仿宋" w:eastAsia="仿宋"/>
          <w:color w:val="000000" w:themeColor="text1"/>
          <w:sz w:val="24"/>
          <w:szCs w:val="24"/>
          <w:lang w:val="en-US" w:eastAsia="zh-CN"/>
        </w:rPr>
        <w:t>4</w:t>
      </w:r>
      <w:r>
        <w:rPr>
          <w:rFonts w:hint="eastAsia" w:ascii="仿宋" w:hAnsi="仿宋" w:eastAsia="仿宋"/>
          <w:color w:val="000000" w:themeColor="text1"/>
          <w:sz w:val="24"/>
          <w:szCs w:val="24"/>
        </w:rPr>
        <w:t>：30（投标人无需派代表出席开标会议）；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contextualSpacing/>
        <w:jc w:val="left"/>
        <w:textAlignment w:val="auto"/>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单位名称：湖州师范学院</w:t>
      </w:r>
      <w:r>
        <w:rPr>
          <w:rFonts w:hint="eastAsia" w:ascii="仿宋" w:hAnsi="仿宋" w:eastAsia="仿宋"/>
          <w:color w:val="000000" w:themeColor="text1"/>
          <w:sz w:val="24"/>
          <w:szCs w:val="24"/>
        </w:rPr>
        <w:t>；</w:t>
      </w:r>
      <w:r>
        <w:rPr>
          <w:rFonts w:ascii="仿宋" w:hAnsi="仿宋" w:eastAsia="仿宋"/>
          <w:color w:val="000000" w:themeColor="text1"/>
          <w:sz w:val="24"/>
          <w:szCs w:val="24"/>
        </w:rPr>
        <w:t>开户行：建行吴兴支行</w:t>
      </w:r>
      <w:r>
        <w:rPr>
          <w:rFonts w:hint="eastAsia" w:ascii="仿宋" w:hAnsi="仿宋" w:eastAsia="仿宋"/>
          <w:color w:val="000000" w:themeColor="text1"/>
          <w:sz w:val="24"/>
          <w:szCs w:val="24"/>
        </w:rPr>
        <w:t>；</w:t>
      </w:r>
      <w:r>
        <w:rPr>
          <w:rFonts w:ascii="仿宋" w:hAnsi="仿宋" w:eastAsia="仿宋"/>
          <w:color w:val="000000" w:themeColor="text1"/>
          <w:sz w:val="24"/>
          <w:szCs w:val="24"/>
        </w:rPr>
        <w:t>账号</w:t>
      </w:r>
      <w:r>
        <w:rPr>
          <w:rFonts w:hint="eastAsia" w:ascii="仿宋" w:hAnsi="仿宋" w:eastAsia="仿宋"/>
          <w:color w:val="000000" w:themeColor="text1"/>
          <w:sz w:val="24"/>
          <w:szCs w:val="24"/>
        </w:rPr>
        <w:t>：</w:t>
      </w:r>
      <w:r>
        <w:rPr>
          <w:rFonts w:ascii="仿宋" w:hAnsi="仿宋" w:eastAsia="仿宋"/>
          <w:color w:val="000000" w:themeColor="text1"/>
          <w:sz w:val="24"/>
          <w:szCs w:val="24"/>
        </w:rPr>
        <w:t>33001649335050002860</w:t>
      </w:r>
      <w:r>
        <w:rPr>
          <w:rFonts w:hint="eastAsia" w:ascii="仿宋" w:hAnsi="仿宋" w:eastAsia="仿宋"/>
          <w:color w:val="000000" w:themeColor="text1"/>
          <w:sz w:val="24"/>
          <w:szCs w:val="24"/>
        </w:rPr>
        <w:t>。</w:t>
      </w:r>
      <w:r>
        <w:rPr>
          <w:rFonts w:ascii="仿宋" w:hAnsi="仿宋" w:eastAsia="仿宋"/>
          <w:color w:val="000000" w:themeColor="text1"/>
          <w:sz w:val="24"/>
          <w:szCs w:val="24"/>
        </w:rPr>
        <w:t>统一社会信用代码：123305004711725032</w:t>
      </w:r>
      <w:r>
        <w:rPr>
          <w:rFonts w:hint="eastAsia" w:ascii="仿宋" w:hAnsi="仿宋" w:eastAsia="仿宋"/>
          <w:color w:val="000000" w:themeColor="text1"/>
          <w:sz w:val="24"/>
          <w:szCs w:val="24"/>
        </w:rPr>
        <w:t>。地址、电话：湖州市二环东路759号，0572-2321567。</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000000" w:themeColor="text1"/>
          <w:sz w:val="24"/>
        </w:rPr>
        <w:t>在疫情期间，根据浙江省财政厅《关于坚决打赢疫情防控阻击战进一步做好政府采购资金</w:t>
      </w:r>
      <w:r>
        <w:rPr>
          <w:rFonts w:hint="eastAsia" w:ascii="仿宋" w:hAnsi="仿宋" w:eastAsia="仿宋" w:cs="仿宋"/>
          <w:color w:val="auto"/>
          <w:sz w:val="24"/>
        </w:rPr>
        <w:t>支持企业发展工作的通知》（浙财采监﹝2020﹞3号）要求,制订以下付款方式:</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（2）货款支付：项目经采购人验收合格后，</w:t>
      </w:r>
      <w:r>
        <w:rPr>
          <w:rFonts w:hint="eastAsia" w:ascii="仿宋" w:hAnsi="仿宋" w:eastAsia="仿宋" w:cstheme="minorBidi"/>
          <w:color w:val="auto"/>
          <w:sz w:val="24"/>
          <w:lang w:eastAsia="zh-CN"/>
        </w:rPr>
        <w:t>以年度为单位，按实际工作量，据实结算。</w:t>
      </w:r>
      <w:r>
        <w:rPr>
          <w:rFonts w:hint="eastAsia" w:ascii="仿宋" w:hAnsi="仿宋" w:eastAsia="仿宋" w:cstheme="minorBidi"/>
          <w:color w:val="auto"/>
          <w:sz w:val="24"/>
        </w:rPr>
        <w:t>中标人开具发票，一次性全额支付货款。</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七、交货时间及地点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000000" w:themeColor="text1"/>
          <w:sz w:val="24"/>
        </w:rPr>
      </w:pPr>
      <w:r>
        <w:rPr>
          <w:rFonts w:hint="eastAsia" w:ascii="仿宋" w:hAnsi="仿宋" w:eastAsia="仿宋"/>
          <w:b/>
          <w:color w:val="000000" w:themeColor="text1"/>
          <w:sz w:val="24"/>
        </w:rPr>
        <w:t>交货时间：</w:t>
      </w:r>
      <w:r>
        <w:rPr>
          <w:rFonts w:hint="eastAsia" w:ascii="仿宋" w:hAnsi="仿宋" w:eastAsia="仿宋"/>
          <w:b/>
          <w:color w:val="000000" w:themeColor="text1"/>
          <w:sz w:val="24"/>
          <w:lang w:val="en-US" w:eastAsia="zh-CN"/>
        </w:rPr>
        <w:t>2020年11月30日前完成安装、调试</w:t>
      </w:r>
      <w:r>
        <w:rPr>
          <w:rFonts w:hint="eastAsia" w:ascii="仿宋" w:hAnsi="仿宋" w:eastAsia="仿宋"/>
          <w:b/>
          <w:color w:val="000000" w:themeColor="text1"/>
          <w:sz w:val="24"/>
        </w:rPr>
        <w:t>。逾期没收履约保证金，采购人有权单方面解除合同。</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交货地点：湖州师范学院采购人指定地点。</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八、质保期</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ascii="仿宋" w:hAnsi="仿宋" w:eastAsia="仿宋"/>
          <w:color w:val="000000" w:themeColor="text1"/>
          <w:sz w:val="24"/>
        </w:rPr>
      </w:pPr>
      <w:r>
        <w:rPr>
          <w:rFonts w:hint="eastAsia" w:ascii="仿宋" w:hAnsi="仿宋" w:eastAsia="仿宋"/>
          <w:b/>
          <w:color w:val="FF0000"/>
          <w:sz w:val="24"/>
          <w:szCs w:val="24"/>
        </w:rPr>
        <w:t>质保期：1年，自验收合格之日起计算。</w:t>
      </w:r>
      <w:r>
        <w:rPr>
          <w:rFonts w:hint="eastAsia" w:ascii="仿宋" w:hAnsi="仿宋" w:eastAsia="仿宋"/>
          <w:color w:val="000000" w:themeColor="text1"/>
          <w:sz w:val="24"/>
        </w:rPr>
        <w:t>质保期内出现</w:t>
      </w:r>
      <w:r>
        <w:rPr>
          <w:rFonts w:hint="eastAsia" w:ascii="仿宋" w:hAnsi="仿宋" w:eastAsia="仿宋"/>
          <w:color w:val="000000" w:themeColor="text1"/>
          <w:sz w:val="24"/>
          <w:lang w:eastAsia="zh-CN"/>
        </w:rPr>
        <w:t>质量问题</w:t>
      </w:r>
      <w:r>
        <w:rPr>
          <w:rFonts w:hint="eastAsia" w:ascii="仿宋" w:hAnsi="仿宋" w:eastAsia="仿宋"/>
          <w:color w:val="000000" w:themeColor="text1"/>
          <w:sz w:val="24"/>
        </w:rPr>
        <w:t>，中标人应在48小时内完成免费维修或更换。</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九、产品质量保证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hint="eastAsia" w:ascii="仿宋" w:hAnsi="仿宋" w:eastAsia="仿宋"/>
          <w:b/>
          <w:color w:val="000000" w:themeColor="text1"/>
          <w:sz w:val="24"/>
        </w:rPr>
      </w:pPr>
      <w:r>
        <w:rPr>
          <w:rFonts w:hint="eastAsia" w:ascii="仿宋" w:hAnsi="仿宋" w:eastAsia="仿宋"/>
          <w:b/>
          <w:color w:val="000000" w:themeColor="text1"/>
          <w:sz w:val="24"/>
        </w:rPr>
        <w:t>附件一：湖州师范学院图书馆存包柜扩容数量规格及整体要求</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rPr>
      </w:pPr>
      <w:r>
        <w:rPr>
          <w:rFonts w:hint="eastAsia" w:ascii="仿宋" w:hAnsi="仿宋" w:eastAsia="仿宋"/>
          <w:b/>
          <w:color w:val="000000" w:themeColor="text1"/>
          <w:sz w:val="24"/>
        </w:rPr>
        <w:t>附件</w:t>
      </w:r>
      <w:r>
        <w:rPr>
          <w:rFonts w:hint="eastAsia" w:ascii="仿宋" w:hAnsi="仿宋" w:eastAsia="仿宋"/>
          <w:b/>
          <w:color w:val="000000" w:themeColor="text1"/>
          <w:sz w:val="24"/>
          <w:lang w:eastAsia="zh-CN"/>
        </w:rPr>
        <w:t>二</w:t>
      </w:r>
      <w:r>
        <w:rPr>
          <w:rFonts w:hint="eastAsia" w:ascii="仿宋" w:hAnsi="仿宋" w:eastAsia="仿宋"/>
          <w:b/>
          <w:color w:val="000000" w:themeColor="text1"/>
          <w:sz w:val="24"/>
        </w:rPr>
        <w:t>：</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firstLine="470" w:firstLineChars="196"/>
        <w:jc w:val="left"/>
        <w:rPr>
          <w:rFonts w:ascii="仿宋" w:hAnsi="仿宋" w:eastAsia="仿宋"/>
          <w:color w:val="000000" w:themeColor="text1"/>
          <w:sz w:val="24"/>
          <w:szCs w:val="24"/>
        </w:rPr>
      </w:pPr>
    </w:p>
    <w:p>
      <w:pPr>
        <w:ind w:firstLine="470" w:firstLineChars="196"/>
        <w:jc w:val="left"/>
        <w:rPr>
          <w:rFonts w:ascii="仿宋" w:hAnsi="仿宋" w:eastAsia="仿宋"/>
          <w:color w:val="000000" w:themeColor="text1"/>
          <w:sz w:val="24"/>
          <w:szCs w:val="24"/>
        </w:rPr>
      </w:pP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180" w:firstLineChars="2150"/>
        <w:rPr>
          <w:rFonts w:ascii="仿宋" w:hAnsi="仿宋" w:eastAsia="仿宋"/>
          <w:b/>
          <w:color w:val="000000" w:themeColor="text1"/>
          <w:sz w:val="24"/>
          <w:szCs w:val="24"/>
        </w:rPr>
      </w:pPr>
      <w:r>
        <w:rPr>
          <w:rFonts w:hint="eastAsia" w:ascii="仿宋" w:hAnsi="仿宋" w:eastAsia="仿宋"/>
          <w:b/>
          <w:color w:val="000000" w:themeColor="text1"/>
          <w:sz w:val="24"/>
          <w:szCs w:val="24"/>
        </w:rPr>
        <w:t>2020年</w:t>
      </w:r>
      <w:r>
        <w:rPr>
          <w:rFonts w:hint="eastAsia" w:ascii="仿宋" w:hAnsi="仿宋" w:eastAsia="仿宋"/>
          <w:b/>
          <w:color w:val="000000" w:themeColor="text1"/>
          <w:sz w:val="24"/>
          <w:szCs w:val="24"/>
          <w:lang w:val="en-US" w:eastAsia="zh-CN"/>
        </w:rPr>
        <w:t>11</w:t>
      </w:r>
      <w:r>
        <w:rPr>
          <w:rFonts w:hint="eastAsia" w:ascii="仿宋" w:hAnsi="仿宋" w:eastAsia="仿宋"/>
          <w:b/>
          <w:color w:val="000000" w:themeColor="text1"/>
          <w:sz w:val="24"/>
          <w:szCs w:val="24"/>
        </w:rPr>
        <w:t>月</w:t>
      </w:r>
      <w:r>
        <w:rPr>
          <w:rFonts w:hint="eastAsia" w:ascii="仿宋" w:hAnsi="仿宋" w:eastAsia="仿宋"/>
          <w:b/>
          <w:color w:val="000000" w:themeColor="text1"/>
          <w:sz w:val="24"/>
          <w:szCs w:val="24"/>
          <w:lang w:val="en-US" w:eastAsia="zh-CN"/>
        </w:rPr>
        <w:t>09</w:t>
      </w:r>
      <w:r>
        <w:rPr>
          <w:rFonts w:hint="eastAsia" w:ascii="仿宋" w:hAnsi="仿宋" w:eastAsia="仿宋"/>
          <w:b/>
          <w:color w:val="000000" w:themeColor="text1"/>
          <w:sz w:val="24"/>
          <w:szCs w:val="24"/>
        </w:rPr>
        <w:t>日</w:t>
      </w:r>
    </w:p>
    <w:p>
      <w:pPr>
        <w:pStyle w:val="3"/>
        <w:snapToGrid w:val="0"/>
        <w:spacing w:beforeLines="0" w:afterLines="0" w:line="240" w:lineRule="auto"/>
        <w:jc w:val="left"/>
        <w:rPr>
          <w:rFonts w:hint="default" w:ascii="黑体" w:hAnsi="黑体" w:eastAsia="黑体"/>
          <w:b/>
          <w:bCs/>
          <w:color w:val="000000" w:themeColor="text1"/>
          <w:lang w:val="en-US" w:eastAsia="zh-CN"/>
        </w:rPr>
      </w:pPr>
      <w:r>
        <w:rPr>
          <w:rFonts w:hint="eastAsia" w:ascii="黑体" w:hAnsi="黑体" w:eastAsia="黑体"/>
          <w:b/>
          <w:bCs/>
          <w:color w:val="000000" w:themeColor="text1"/>
          <w:lang w:eastAsia="zh-CN"/>
        </w:rPr>
        <w:t>附件</w:t>
      </w:r>
      <w:r>
        <w:rPr>
          <w:rFonts w:hint="eastAsia" w:ascii="黑体" w:hAnsi="黑体" w:eastAsia="黑体"/>
          <w:b/>
          <w:bCs/>
          <w:color w:val="000000" w:themeColor="text1"/>
          <w:lang w:val="en-US" w:eastAsia="zh-CN"/>
        </w:rPr>
        <w:t>1：</w:t>
      </w:r>
      <w:r>
        <w:rPr>
          <w:rFonts w:hint="eastAsia" w:ascii="仿宋" w:hAnsi="仿宋" w:eastAsia="仿宋"/>
          <w:b/>
          <w:color w:val="000000" w:themeColor="text1"/>
          <w:sz w:val="24"/>
        </w:rPr>
        <w:t>湖州师范学院图书馆存包柜扩容数量规格及整体要求</w:t>
      </w:r>
      <w:bookmarkStart w:id="0" w:name="_GoBack"/>
      <w:bookmarkEnd w:id="0"/>
    </w:p>
    <w:p>
      <w:pPr>
        <w:spacing w:line="240" w:lineRule="auto"/>
        <w:jc w:val="center"/>
        <w:rPr>
          <w:rFonts w:hint="eastAsia" w:ascii="仿宋" w:hAnsi="仿宋" w:eastAsia="仿宋" w:cs="仿宋"/>
          <w:b/>
          <w:bCs w:val="0"/>
          <w:sz w:val="28"/>
          <w:szCs w:val="28"/>
        </w:rPr>
      </w:pPr>
      <w:r>
        <w:rPr>
          <w:rFonts w:ascii="宋体" w:hAnsi="宋体"/>
          <w:b/>
          <w:bCs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b/>
          <w:bCs w:val="0"/>
          <w:sz w:val="28"/>
          <w:szCs w:val="28"/>
        </w:rPr>
        <w:instrText xml:space="preserve">ADDIN CNKISM.UserStyle</w:instrText>
      </w:r>
      <w:r>
        <w:rPr>
          <w:rFonts w:ascii="宋体" w:hAnsi="宋体"/>
          <w:b/>
          <w:bCs w:val="0"/>
          <w:sz w:val="28"/>
          <w:szCs w:val="28"/>
        </w:rPr>
        <w:fldChar w:fldCharType="separate"/>
      </w:r>
      <w:r>
        <w:rPr>
          <w:rFonts w:ascii="宋体" w:hAnsi="宋体"/>
          <w:b/>
          <w:bCs w:val="0"/>
          <w:sz w:val="28"/>
          <w:szCs w:val="28"/>
        </w:rPr>
        <w:fldChar w:fldCharType="end"/>
      </w:r>
      <w:r>
        <w:rPr>
          <w:rFonts w:hint="eastAsia" w:ascii="仿宋" w:hAnsi="仿宋" w:eastAsia="仿宋" w:cs="仿宋"/>
          <w:b/>
          <w:bCs w:val="0"/>
          <w:sz w:val="28"/>
          <w:szCs w:val="28"/>
        </w:rPr>
        <w:t>湖州师范学院图书馆存包柜扩容数量规格及整体要求</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465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17" w:type="dxa"/>
            <w:vAlign w:val="center"/>
          </w:tcPr>
          <w:p>
            <w:pPr>
              <w:spacing w:line="24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名称</w:t>
            </w:r>
          </w:p>
        </w:tc>
        <w:tc>
          <w:tcPr>
            <w:tcW w:w="4650" w:type="dxa"/>
            <w:vAlign w:val="center"/>
          </w:tcPr>
          <w:p>
            <w:pPr>
              <w:spacing w:line="24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规格尺寸（高*宽*深/mm）</w:t>
            </w:r>
          </w:p>
        </w:tc>
        <w:tc>
          <w:tcPr>
            <w:tcW w:w="2200" w:type="dxa"/>
            <w:vAlign w:val="center"/>
          </w:tcPr>
          <w:p>
            <w:pPr>
              <w:spacing w:line="24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17" w:type="dxa"/>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12门联网IC卡寄存柜特制主柜</w:t>
            </w:r>
          </w:p>
        </w:tc>
        <w:tc>
          <w:tcPr>
            <w:tcW w:w="4650" w:type="dxa"/>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整体尺寸：1880*1128*450</w:t>
            </w:r>
          </w:p>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单箱尺寸：300.8*455*450</w:t>
            </w:r>
          </w:p>
        </w:tc>
        <w:tc>
          <w:tcPr>
            <w:tcW w:w="2200" w:type="dxa"/>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17" w:type="dxa"/>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12门联网IC卡寄存柜特制副柜</w:t>
            </w:r>
          </w:p>
        </w:tc>
        <w:tc>
          <w:tcPr>
            <w:tcW w:w="4650" w:type="dxa"/>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整体尺寸：1880*993*450</w:t>
            </w:r>
          </w:p>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单箱尺寸：300.8*455*450</w:t>
            </w:r>
          </w:p>
        </w:tc>
        <w:tc>
          <w:tcPr>
            <w:tcW w:w="2200" w:type="dxa"/>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 xml:space="preserve">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2217" w:type="dxa"/>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说明</w:t>
            </w:r>
          </w:p>
        </w:tc>
        <w:tc>
          <w:tcPr>
            <w:tcW w:w="6850" w:type="dxa"/>
            <w:gridSpan w:val="2"/>
            <w:vAlign w:val="center"/>
          </w:tcPr>
          <w:p>
            <w:pPr>
              <w:tabs>
                <w:tab w:val="left" w:pos="360"/>
              </w:tabs>
              <w:spacing w:line="240" w:lineRule="auto"/>
              <w:rPr>
                <w:rFonts w:hint="eastAsia" w:ascii="仿宋" w:hAnsi="仿宋" w:eastAsia="仿宋" w:cs="仿宋"/>
                <w:bCs/>
                <w:sz w:val="24"/>
                <w:szCs w:val="24"/>
              </w:rPr>
            </w:pPr>
            <w:r>
              <w:rPr>
                <w:rFonts w:hint="eastAsia" w:ascii="仿宋" w:hAnsi="仿宋" w:eastAsia="仿宋" w:cs="仿宋"/>
                <w:bCs/>
                <w:sz w:val="24"/>
                <w:szCs w:val="24"/>
              </w:rPr>
              <w:t>1、与原联网管理软件对接，并提供免费升级服务；后续增加寄存柜时，不收取软件费用。</w:t>
            </w:r>
          </w:p>
          <w:p>
            <w:pPr>
              <w:numPr>
                <w:ilvl w:val="0"/>
                <w:numId w:val="2"/>
              </w:numPr>
              <w:tabs>
                <w:tab w:val="left" w:pos="360"/>
              </w:tabs>
              <w:spacing w:line="240" w:lineRule="auto"/>
              <w:rPr>
                <w:rFonts w:hint="eastAsia" w:ascii="仿宋" w:hAnsi="仿宋" w:eastAsia="仿宋" w:cs="仿宋"/>
                <w:bCs/>
                <w:sz w:val="24"/>
                <w:szCs w:val="24"/>
              </w:rPr>
            </w:pPr>
            <w:r>
              <w:rPr>
                <w:rFonts w:hint="eastAsia" w:ascii="仿宋" w:hAnsi="仿宋" w:eastAsia="仿宋" w:cs="仿宋"/>
                <w:bCs/>
                <w:sz w:val="24"/>
                <w:szCs w:val="24"/>
              </w:rPr>
              <w:t>质保期三年；</w:t>
            </w:r>
          </w:p>
          <w:p>
            <w:pPr>
              <w:numPr>
                <w:ilvl w:val="0"/>
                <w:numId w:val="2"/>
              </w:numPr>
              <w:tabs>
                <w:tab w:val="left" w:pos="360"/>
              </w:tabs>
              <w:spacing w:line="240" w:lineRule="auto"/>
              <w:rPr>
                <w:rFonts w:hint="eastAsia" w:ascii="仿宋" w:hAnsi="仿宋" w:eastAsia="仿宋" w:cs="仿宋"/>
                <w:bCs/>
                <w:sz w:val="24"/>
                <w:szCs w:val="24"/>
              </w:rPr>
            </w:pPr>
            <w:r>
              <w:rPr>
                <w:rFonts w:hint="eastAsia" w:ascii="仿宋" w:hAnsi="仿宋" w:eastAsia="仿宋" w:cs="仿宋"/>
                <w:bCs/>
                <w:sz w:val="24"/>
                <w:szCs w:val="24"/>
              </w:rPr>
              <w:t>颜色大小与原有箱柜一致，以实物为准；</w:t>
            </w:r>
          </w:p>
          <w:p>
            <w:pPr>
              <w:numPr>
                <w:ilvl w:val="0"/>
                <w:numId w:val="2"/>
              </w:numPr>
              <w:tabs>
                <w:tab w:val="left" w:pos="360"/>
              </w:tabs>
              <w:spacing w:line="240" w:lineRule="auto"/>
              <w:rPr>
                <w:rFonts w:hint="eastAsia" w:ascii="仿宋" w:hAnsi="仿宋" w:eastAsia="仿宋" w:cs="仿宋"/>
                <w:bCs/>
                <w:sz w:val="24"/>
                <w:szCs w:val="24"/>
              </w:rPr>
            </w:pPr>
            <w:r>
              <w:rPr>
                <w:rFonts w:hint="eastAsia" w:ascii="仿宋" w:hAnsi="仿宋" w:eastAsia="仿宋" w:cs="仿宋"/>
                <w:bCs/>
                <w:sz w:val="24"/>
                <w:szCs w:val="24"/>
              </w:rPr>
              <w:t>联网所需的其他计算机软件及硬件以及网络布线由需方自备。</w:t>
            </w:r>
          </w:p>
          <w:p>
            <w:pPr>
              <w:spacing w:line="240" w:lineRule="auto"/>
              <w:rPr>
                <w:rFonts w:hint="eastAsia" w:ascii="仿宋" w:hAnsi="仿宋" w:eastAsia="仿宋" w:cs="仿宋"/>
                <w:bCs/>
                <w:sz w:val="24"/>
                <w:szCs w:val="24"/>
              </w:rPr>
            </w:pPr>
            <w:r>
              <w:rPr>
                <w:rFonts w:hint="eastAsia" w:ascii="仿宋" w:hAnsi="仿宋" w:eastAsia="仿宋" w:cs="仿宋"/>
                <w:bCs/>
                <w:sz w:val="24"/>
                <w:szCs w:val="24"/>
              </w:rPr>
              <w:t>5、柜机需要识别校园一卡通或二维码。</w:t>
            </w:r>
          </w:p>
        </w:tc>
      </w:tr>
    </w:tbl>
    <w:p>
      <w:pPr>
        <w:spacing w:line="240" w:lineRule="auto"/>
        <w:rPr>
          <w:rFonts w:hint="eastAsia" w:ascii="仿宋" w:hAnsi="仿宋" w:eastAsia="仿宋" w:cs="仿宋"/>
          <w:b/>
          <w:sz w:val="24"/>
          <w:szCs w:val="24"/>
        </w:rPr>
      </w:pPr>
      <w:r>
        <w:rPr>
          <w:rFonts w:hint="eastAsia" w:ascii="仿宋" w:hAnsi="仿宋" w:eastAsia="仿宋" w:cs="仿宋"/>
          <w:b/>
          <w:sz w:val="24"/>
          <w:szCs w:val="24"/>
        </w:rPr>
        <w:t>使用方法：</w:t>
      </w:r>
    </w:p>
    <w:p>
      <w:pPr>
        <w:spacing w:line="240" w:lineRule="auto"/>
        <w:ind w:firstLine="480"/>
        <w:rPr>
          <w:rFonts w:hint="eastAsia" w:ascii="仿宋" w:hAnsi="仿宋" w:eastAsia="仿宋" w:cs="仿宋"/>
          <w:sz w:val="24"/>
          <w:szCs w:val="24"/>
        </w:rPr>
      </w:pPr>
      <w:r>
        <w:rPr>
          <w:rFonts w:hint="eastAsia" w:ascii="仿宋" w:hAnsi="仿宋" w:eastAsia="仿宋" w:cs="仿宋"/>
          <w:sz w:val="24"/>
          <w:szCs w:val="24"/>
        </w:rPr>
        <w:t>（1）存物时，</w:t>
      </w:r>
      <w:r>
        <w:rPr>
          <w:rFonts w:hint="eastAsia" w:ascii="仿宋" w:hAnsi="仿宋" w:eastAsia="仿宋" w:cs="仿宋"/>
          <w:bCs/>
          <w:sz w:val="24"/>
          <w:szCs w:val="24"/>
        </w:rPr>
        <w:t>只需在设备刷卡区直接刷IC卡（可为校园一卡通），机器会自动分配相应空箱</w:t>
      </w:r>
      <w:r>
        <w:rPr>
          <w:rFonts w:hint="eastAsia" w:ascii="仿宋" w:hAnsi="仿宋" w:eastAsia="仿宋" w:cs="仿宋"/>
          <w:sz w:val="24"/>
          <w:szCs w:val="24"/>
        </w:rPr>
        <w:t>；</w:t>
      </w:r>
    </w:p>
    <w:p>
      <w:pPr>
        <w:spacing w:line="240" w:lineRule="auto"/>
        <w:ind w:firstLine="480"/>
        <w:rPr>
          <w:rFonts w:hint="eastAsia" w:ascii="仿宋" w:hAnsi="仿宋" w:eastAsia="仿宋" w:cs="仿宋"/>
          <w:sz w:val="24"/>
          <w:szCs w:val="24"/>
        </w:rPr>
      </w:pPr>
      <w:r>
        <w:rPr>
          <w:rFonts w:hint="eastAsia" w:ascii="仿宋" w:hAnsi="仿宋" w:eastAsia="仿宋" w:cs="仿宋"/>
          <w:sz w:val="24"/>
          <w:szCs w:val="24"/>
        </w:rPr>
        <w:t>（2）放入物品并关好箱门；</w:t>
      </w:r>
    </w:p>
    <w:p>
      <w:pPr>
        <w:spacing w:line="240" w:lineRule="auto"/>
        <w:ind w:left="479" w:leftChars="228"/>
        <w:rPr>
          <w:rFonts w:hint="eastAsia" w:ascii="仿宋" w:hAnsi="仿宋" w:eastAsia="仿宋" w:cs="仿宋"/>
          <w:sz w:val="24"/>
          <w:szCs w:val="24"/>
        </w:rPr>
      </w:pPr>
      <w:r>
        <w:rPr>
          <w:rFonts w:hint="eastAsia" w:ascii="仿宋" w:hAnsi="仿宋" w:eastAsia="仿宋" w:cs="仿宋"/>
          <w:sz w:val="24"/>
          <w:szCs w:val="24"/>
        </w:rPr>
        <w:t>（3）取物时，</w:t>
      </w:r>
      <w:r>
        <w:rPr>
          <w:rFonts w:hint="eastAsia" w:ascii="仿宋" w:hAnsi="仿宋" w:eastAsia="仿宋" w:cs="仿宋"/>
          <w:bCs/>
          <w:sz w:val="24"/>
          <w:szCs w:val="24"/>
        </w:rPr>
        <w:t>只需在设备刷卡区直接刷IC卡，机器会自动打开该IC卡对应的箱门</w:t>
      </w:r>
      <w:r>
        <w:rPr>
          <w:rFonts w:hint="eastAsia" w:ascii="仿宋" w:hAnsi="仿宋" w:eastAsia="仿宋" w:cs="仿宋"/>
          <w:sz w:val="24"/>
          <w:szCs w:val="24"/>
        </w:rPr>
        <w:t>；</w:t>
      </w:r>
    </w:p>
    <w:p>
      <w:pPr>
        <w:spacing w:line="240" w:lineRule="auto"/>
        <w:ind w:left="479" w:leftChars="228"/>
        <w:rPr>
          <w:rFonts w:hint="eastAsia" w:ascii="仿宋" w:hAnsi="仿宋" w:eastAsia="仿宋" w:cs="仿宋"/>
          <w:sz w:val="24"/>
          <w:szCs w:val="24"/>
        </w:rPr>
      </w:pPr>
      <w:r>
        <w:rPr>
          <w:rFonts w:hint="eastAsia" w:ascii="仿宋" w:hAnsi="仿宋" w:eastAsia="仿宋" w:cs="仿宋"/>
          <w:sz w:val="24"/>
          <w:szCs w:val="24"/>
        </w:rPr>
        <w:t>（4）取完全部物品后关好箱门。</w:t>
      </w:r>
    </w:p>
    <w:p>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材质要求：</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寄存柜柜体选用优质冷轧钢板，厚度不小于0.8mm，经冷加工成形后，用二氧化碳气体保护焊焊接装配而成，柜体结构坚固结实。柜体表面经除锈、除油、打磨、磷化处理后喷塑（不接受喷漆）。箱门背面增加纵向加强筋，提高箱门的防撞击能力。箱门两侧呈一定角度的弧线外形，增强箱门的防撞击能力，并且有效防止使用者因疏忽碰伤、磕伤。电控锁采用棘爪式结构，360度防撬、防插。</w:t>
      </w:r>
    </w:p>
    <w:p>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功能要求：</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产品为非接触</w:t>
      </w:r>
      <w:r>
        <w:rPr>
          <w:rFonts w:hint="eastAsia" w:ascii="仿宋" w:hAnsi="仿宋" w:eastAsia="仿宋" w:cs="仿宋"/>
          <w:bCs/>
          <w:sz w:val="24"/>
          <w:szCs w:val="24"/>
        </w:rPr>
        <w:t>IC</w:t>
      </w:r>
      <w:r>
        <w:rPr>
          <w:rFonts w:hint="eastAsia" w:ascii="仿宋" w:hAnsi="仿宋" w:eastAsia="仿宋" w:cs="仿宋"/>
          <w:sz w:val="24"/>
          <w:szCs w:val="24"/>
        </w:rPr>
        <w:t>卡式或二维码扫描式，使用者可以刷</w:t>
      </w:r>
      <w:r>
        <w:rPr>
          <w:rFonts w:hint="eastAsia" w:ascii="仿宋" w:hAnsi="仿宋" w:eastAsia="仿宋" w:cs="仿宋"/>
          <w:bCs/>
          <w:sz w:val="24"/>
          <w:szCs w:val="24"/>
        </w:rPr>
        <w:t>IC</w:t>
      </w:r>
      <w:r>
        <w:rPr>
          <w:rFonts w:hint="eastAsia" w:ascii="仿宋" w:hAnsi="仿宋" w:eastAsia="仿宋" w:cs="仿宋"/>
          <w:sz w:val="24"/>
          <w:szCs w:val="24"/>
        </w:rPr>
        <w:t>卡或扫描二维码自助开门。电子寄存柜是由嵌入式计算机进行控制，具有管理功能的小件物品寄存系统。</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（1）使用者可以刷</w:t>
      </w:r>
      <w:r>
        <w:rPr>
          <w:rFonts w:hint="eastAsia" w:ascii="仿宋" w:hAnsi="仿宋" w:eastAsia="仿宋" w:cs="仿宋"/>
          <w:bCs/>
          <w:sz w:val="24"/>
          <w:szCs w:val="24"/>
        </w:rPr>
        <w:t>IC</w:t>
      </w:r>
      <w:r>
        <w:rPr>
          <w:rFonts w:hint="eastAsia" w:ascii="仿宋" w:hAnsi="仿宋" w:eastAsia="仿宋" w:cs="仿宋"/>
          <w:sz w:val="24"/>
          <w:szCs w:val="24"/>
        </w:rPr>
        <w:t>卡或扫描二维码自助开门取包；</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（2）管理员使用电子密钥（管理</w:t>
      </w:r>
      <w:r>
        <w:rPr>
          <w:rFonts w:hint="eastAsia" w:ascii="仿宋" w:hAnsi="仿宋" w:eastAsia="仿宋" w:cs="仿宋"/>
          <w:bCs/>
          <w:sz w:val="24"/>
          <w:szCs w:val="24"/>
        </w:rPr>
        <w:t>IC</w:t>
      </w:r>
      <w:r>
        <w:rPr>
          <w:rFonts w:hint="eastAsia" w:ascii="仿宋" w:hAnsi="仿宋" w:eastAsia="仿宋" w:cs="仿宋"/>
          <w:sz w:val="24"/>
          <w:szCs w:val="24"/>
        </w:rPr>
        <w:t>卡+密码）进入管理界面；</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（3）清箱功能：可对存包柜进行瞬间清箱；</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（4）锁箱功能：管理员可对存包柜特定箱门进行锁定。</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（5）各箱的存、取物记录，管理员的操作记录及全清箱记录，均可打印出来。</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（6）柜体必须带有可旋转的地脚以保证设备放置平稳。</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（7）对讲机、手机等有抗电磁干扰的功能。</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（8）有后备电源，停电时可正常使用不低于4小时；断电后，数据自动保存。</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（9）电子寄存柜软件应具有完全的知识产权，不存在任何专利纠纷。</w:t>
      </w:r>
    </w:p>
    <w:p>
      <w:pPr>
        <w:spacing w:line="240" w:lineRule="auto"/>
        <w:rPr>
          <w:rFonts w:hint="eastAsia" w:ascii="仿宋" w:hAnsi="仿宋" w:eastAsia="仿宋" w:cs="仿宋"/>
          <w:b/>
          <w:bCs/>
          <w:sz w:val="24"/>
          <w:szCs w:val="24"/>
        </w:rPr>
      </w:pPr>
    </w:p>
    <w:p>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联网管理软件性能要求</w:t>
      </w:r>
    </w:p>
    <w:p>
      <w:pPr>
        <w:spacing w:line="24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◆使用者信息、存取操作、时间信息、使用卡号信息后台均有记录，有效防范极少数不良分子搞破坏，发生意外可迅速追溯到人，保障公共安全。</w:t>
      </w:r>
    </w:p>
    <w:p>
      <w:pPr>
        <w:spacing w:line="24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◆一张</w:t>
      </w:r>
      <w:r>
        <w:rPr>
          <w:rFonts w:hint="eastAsia" w:ascii="仿宋" w:hAnsi="仿宋" w:eastAsia="仿宋" w:cs="仿宋"/>
          <w:bCs/>
          <w:sz w:val="24"/>
          <w:szCs w:val="24"/>
        </w:rPr>
        <w:t>IC</w:t>
      </w:r>
      <w:r>
        <w:rPr>
          <w:rFonts w:hint="eastAsia" w:ascii="仿宋" w:hAnsi="仿宋" w:eastAsia="仿宋" w:cs="仿宋"/>
          <w:sz w:val="24"/>
          <w:szCs w:val="24"/>
        </w:rPr>
        <w:t>卡一次只能占用一个箱格进行存物。</w:t>
      </w:r>
    </w:p>
    <w:p>
      <w:pPr>
        <w:spacing w:line="24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◆可选的计费模式：可以免费提供给使用者使用，也可对服务进行收费。</w:t>
      </w:r>
    </w:p>
    <w:p>
      <w:pPr>
        <w:spacing w:line="24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◆支持联网扣款：如不采用现金缴费方式，智莱寄存管理系统支持联网扣费。</w:t>
      </w:r>
    </w:p>
    <w:p>
      <w:pPr>
        <w:spacing w:line="24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◆开箱功能：如果在特殊情况下（比如使用者丢失一卡通）需要开门，在核实身份的前提下，可通过管理员权限进行开箱作业。此操作会保存有记录。</w:t>
      </w:r>
    </w:p>
    <w:p>
      <w:pPr>
        <w:spacing w:line="24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◆清箱功能：全开箱操作可一次清除各箱的状态（即将全部箱置为“可分配”状态）；一个指令即可依次打开所有箱门，方便管理；此操作会保存有记录。</w:t>
      </w:r>
    </w:p>
    <w:p>
      <w:pPr>
        <w:spacing w:line="24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◆数据备份功能：通过数据备份功能可有效保证数据安全可查，防止因意外造成数据丢失。</w:t>
      </w:r>
    </w:p>
    <w:p>
      <w:pPr>
        <w:spacing w:line="24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◆卡挂失功能：若使用者丢失</w:t>
      </w:r>
      <w:r>
        <w:rPr>
          <w:rFonts w:hint="eastAsia" w:ascii="仿宋" w:hAnsi="仿宋" w:eastAsia="仿宋" w:cs="仿宋"/>
          <w:bCs/>
          <w:sz w:val="24"/>
          <w:szCs w:val="24"/>
        </w:rPr>
        <w:t>IC</w:t>
      </w:r>
      <w:r>
        <w:rPr>
          <w:rFonts w:hint="eastAsia" w:ascii="仿宋" w:hAnsi="仿宋" w:eastAsia="仿宋" w:cs="仿宋"/>
          <w:sz w:val="24"/>
          <w:szCs w:val="24"/>
        </w:rPr>
        <w:t>卡，管理员通过挂失操作，可将该卡冻结。冻结后，该卡不能再使用，除非解冻。</w:t>
      </w:r>
    </w:p>
    <w:p>
      <w:pPr>
        <w:spacing w:line="24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◆卡注销功能：如果使用者的图书馆使用者卡损坏或遗失，可对注册过的卡进行注销，该卡就不能再在储物柜上使用了。</w:t>
      </w:r>
    </w:p>
    <w:p>
      <w:pPr>
        <w:spacing w:line="24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◆查询、统计及打印各类报表：包括日报表，月报表，年报表，包括储物柜使用率，收费金额，超时使用者名单等。</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◆联网管理软件具有完全的知识产权，不存在任何专利纠纷。</w:t>
      </w:r>
    </w:p>
    <w:p>
      <w:pPr>
        <w:spacing w:line="240" w:lineRule="auto"/>
        <w:ind w:left="479" w:leftChars="228"/>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Cs/>
          <w:sz w:val="24"/>
          <w:szCs w:val="24"/>
        </w:rPr>
        <w:t>免费提供接口，方便其他系统对存包系统进行调用与交互。</w:t>
      </w: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b/>
          <w:bCs/>
          <w:color w:val="000000" w:themeColor="text1"/>
        </w:rPr>
      </w:pPr>
      <w:r>
        <w:rPr>
          <w:rFonts w:hint="eastAsia" w:ascii="黑体" w:hAnsi="黑体" w:eastAsia="黑体"/>
          <w:b/>
          <w:bCs/>
          <w:color w:val="000000" w:themeColor="text1"/>
        </w:rPr>
        <w:t>附件</w:t>
      </w:r>
      <w:r>
        <w:rPr>
          <w:rFonts w:hint="eastAsia" w:ascii="黑体" w:hAnsi="黑体" w:eastAsia="黑体"/>
          <w:b/>
          <w:bCs/>
          <w:color w:val="000000" w:themeColor="text1"/>
          <w:lang w:eastAsia="zh-CN"/>
        </w:rPr>
        <w:t>二</w:t>
      </w:r>
      <w:r>
        <w:rPr>
          <w:rFonts w:hint="eastAsia" w:ascii="黑体" w:hAnsi="黑体" w:eastAsia="黑体"/>
          <w:b/>
          <w:bCs/>
          <w:color w:val="000000" w:themeColor="text1"/>
        </w:rPr>
        <w:t>：</w:t>
      </w:r>
      <w:r>
        <w:rPr>
          <w:rFonts w:ascii="黑体" w:hAnsi="黑体" w:eastAsia="黑体"/>
          <w:b/>
          <w:bCs/>
          <w:color w:val="000000" w:themeColor="text1"/>
        </w:rPr>
        <w:t>投标报价</w:t>
      </w:r>
      <w:r>
        <w:rPr>
          <w:rFonts w:hint="eastAsia" w:ascii="黑体" w:hAnsi="黑体" w:eastAsia="黑体"/>
          <w:b/>
          <w:bCs/>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hint="eastAsia" w:ascii="仿宋" w:hAnsi="仿宋" w:eastAsia="仿宋"/>
          <w:b/>
          <w:color w:val="000000" w:themeColor="text1"/>
          <w:sz w:val="24"/>
          <w:lang w:eastAsia="zh-CN"/>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lang w:eastAsia="zh-CN"/>
        </w:rPr>
        <w:t>湖州师范学院图书馆存包柜扩容采购项目</w:t>
      </w:r>
    </w:p>
    <w:p>
      <w:pPr>
        <w:jc w:val="left"/>
        <w:rPr>
          <w:rFonts w:hint="eastAsia" w:ascii="仿宋" w:hAnsi="仿宋" w:eastAsia="仿宋"/>
          <w:b/>
          <w:color w:val="000000" w:themeColor="text1"/>
          <w:sz w:val="24"/>
          <w:szCs w:val="24"/>
          <w:lang w:val="en-US" w:eastAsia="zh-CN"/>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lang w:eastAsia="zh-CN"/>
        </w:rPr>
        <w:t>XZ2020-151</w:t>
      </w:r>
    </w:p>
    <w:tbl>
      <w:tblPr>
        <w:tblStyle w:val="9"/>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883"/>
        <w:gridCol w:w="1900"/>
        <w:gridCol w:w="678"/>
        <w:gridCol w:w="735"/>
        <w:gridCol w:w="106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序号</w:t>
            </w:r>
          </w:p>
        </w:tc>
        <w:tc>
          <w:tcPr>
            <w:tcW w:w="288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产品名称</w:t>
            </w:r>
          </w:p>
        </w:tc>
        <w:tc>
          <w:tcPr>
            <w:tcW w:w="19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lang w:val="en-US" w:eastAsia="zh-CN"/>
              </w:rPr>
            </w:pPr>
            <w:r>
              <w:rPr>
                <w:rFonts w:hint="eastAsia" w:ascii="仿宋" w:hAnsi="仿宋" w:eastAsia="仿宋" w:cs="仿宋"/>
                <w:b/>
                <w:color w:val="000000" w:themeColor="text1"/>
                <w:kern w:val="0"/>
                <w:sz w:val="21"/>
                <w:szCs w:val="21"/>
                <w:lang w:eastAsia="zh-CN"/>
              </w:rPr>
              <w:t>参数规格要求</w:t>
            </w:r>
          </w:p>
        </w:tc>
        <w:tc>
          <w:tcPr>
            <w:tcW w:w="6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数量</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单位</w:t>
            </w:r>
          </w:p>
        </w:tc>
        <w:tc>
          <w:tcPr>
            <w:tcW w:w="10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单价(元)</w:t>
            </w:r>
          </w:p>
        </w:tc>
        <w:tc>
          <w:tcPr>
            <w:tcW w:w="13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1</w:t>
            </w:r>
          </w:p>
        </w:tc>
        <w:tc>
          <w:tcPr>
            <w:tcW w:w="2883" w:type="dxa"/>
            <w:vAlign w:val="center"/>
          </w:tcPr>
          <w:p>
            <w:pPr>
              <w:spacing w:line="240" w:lineRule="auto"/>
              <w:jc w:val="center"/>
              <w:rPr>
                <w:rFonts w:hint="eastAsia" w:ascii="仿宋" w:hAnsi="仿宋" w:eastAsia="仿宋" w:cs="仿宋"/>
                <w:color w:val="000000" w:themeColor="text1"/>
                <w:kern w:val="0"/>
                <w:sz w:val="21"/>
                <w:szCs w:val="21"/>
                <w:lang w:eastAsia="zh-CN"/>
              </w:rPr>
            </w:pPr>
            <w:r>
              <w:rPr>
                <w:rFonts w:hint="eastAsia" w:ascii="仿宋" w:hAnsi="仿宋" w:eastAsia="仿宋" w:cs="仿宋"/>
                <w:bCs/>
                <w:sz w:val="24"/>
                <w:szCs w:val="24"/>
              </w:rPr>
              <w:t>12门联网IC卡寄存柜特制主柜</w:t>
            </w:r>
          </w:p>
        </w:tc>
        <w:tc>
          <w:tcPr>
            <w:tcW w:w="1900" w:type="dxa"/>
            <w:vAlign w:val="center"/>
          </w:tcPr>
          <w:p>
            <w:pPr>
              <w:spacing w:line="240" w:lineRule="auto"/>
              <w:jc w:val="center"/>
              <w:rPr>
                <w:rFonts w:hint="eastAsia" w:ascii="仿宋" w:hAnsi="仿宋" w:eastAsia="仿宋" w:cs="仿宋"/>
                <w:color w:val="000000" w:themeColor="text1"/>
                <w:kern w:val="0"/>
                <w:sz w:val="21"/>
                <w:szCs w:val="21"/>
                <w:lang w:eastAsia="zh-CN"/>
              </w:rPr>
            </w:pPr>
            <w:r>
              <w:rPr>
                <w:rFonts w:hint="eastAsia" w:ascii="仿宋" w:hAnsi="仿宋" w:eastAsia="仿宋" w:cs="仿宋"/>
                <w:bCs/>
                <w:sz w:val="24"/>
                <w:szCs w:val="24"/>
                <w:lang w:eastAsia="zh-CN"/>
              </w:rPr>
              <w:t>响应招标文件</w:t>
            </w:r>
          </w:p>
        </w:tc>
        <w:tc>
          <w:tcPr>
            <w:tcW w:w="678" w:type="dxa"/>
            <w:vAlign w:val="center"/>
          </w:tcPr>
          <w:p>
            <w:pPr>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bCs/>
                <w:sz w:val="24"/>
                <w:szCs w:val="24"/>
              </w:rPr>
              <w:t>17</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eastAsia="zh-CN"/>
              </w:rPr>
              <w:t>套</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7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2</w:t>
            </w:r>
          </w:p>
        </w:tc>
        <w:tc>
          <w:tcPr>
            <w:tcW w:w="2883" w:type="dxa"/>
            <w:vAlign w:val="center"/>
          </w:tcPr>
          <w:p>
            <w:pPr>
              <w:spacing w:line="240" w:lineRule="auto"/>
              <w:jc w:val="center"/>
              <w:rPr>
                <w:rFonts w:hint="eastAsia" w:ascii="仿宋" w:hAnsi="仿宋" w:eastAsia="仿宋" w:cs="仿宋"/>
                <w:color w:val="000000" w:themeColor="text1"/>
                <w:kern w:val="0"/>
                <w:sz w:val="21"/>
                <w:szCs w:val="21"/>
                <w:lang w:eastAsia="zh-CN"/>
              </w:rPr>
            </w:pPr>
            <w:r>
              <w:rPr>
                <w:rFonts w:hint="eastAsia" w:ascii="仿宋" w:hAnsi="仿宋" w:eastAsia="仿宋" w:cs="仿宋"/>
                <w:bCs/>
                <w:sz w:val="24"/>
                <w:szCs w:val="24"/>
              </w:rPr>
              <w:t>12门联网IC卡寄存柜特制副柜</w:t>
            </w:r>
          </w:p>
        </w:tc>
        <w:tc>
          <w:tcPr>
            <w:tcW w:w="1900" w:type="dxa"/>
            <w:vAlign w:val="center"/>
          </w:tcPr>
          <w:p>
            <w:pPr>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bCs/>
                <w:sz w:val="24"/>
                <w:szCs w:val="24"/>
                <w:lang w:eastAsia="zh-CN"/>
              </w:rPr>
              <w:t>响应招标文件</w:t>
            </w:r>
          </w:p>
        </w:tc>
        <w:tc>
          <w:tcPr>
            <w:tcW w:w="678" w:type="dxa"/>
            <w:vAlign w:val="center"/>
          </w:tcPr>
          <w:p>
            <w:pPr>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bCs/>
                <w:sz w:val="24"/>
                <w:szCs w:val="24"/>
              </w:rPr>
              <w:t xml:space="preserve">43  </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lang w:eastAsia="zh-CN"/>
              </w:rPr>
              <w:t>套</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78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3</w:t>
            </w:r>
          </w:p>
        </w:tc>
        <w:tc>
          <w:tcPr>
            <w:tcW w:w="2883" w:type="dxa"/>
            <w:vAlign w:val="center"/>
          </w:tcPr>
          <w:p>
            <w:pPr>
              <w:spacing w:line="240" w:lineRule="auto"/>
              <w:jc w:val="center"/>
              <w:rPr>
                <w:rFonts w:hint="eastAsia" w:ascii="仿宋" w:hAnsi="仿宋" w:eastAsia="仿宋" w:cs="仿宋"/>
                <w:color w:val="000000" w:themeColor="text1"/>
                <w:kern w:val="0"/>
                <w:sz w:val="21"/>
                <w:szCs w:val="21"/>
                <w:lang w:eastAsia="zh-CN"/>
              </w:rPr>
            </w:pPr>
            <w:r>
              <w:rPr>
                <w:rFonts w:hint="eastAsia" w:ascii="仿宋" w:hAnsi="仿宋" w:eastAsia="仿宋" w:cs="仿宋"/>
                <w:bCs/>
                <w:sz w:val="24"/>
                <w:szCs w:val="24"/>
              </w:rPr>
              <w:t>12门联网IC卡寄存柜特制主柜</w:t>
            </w:r>
          </w:p>
        </w:tc>
        <w:tc>
          <w:tcPr>
            <w:tcW w:w="1900" w:type="dxa"/>
            <w:vAlign w:val="center"/>
          </w:tcPr>
          <w:p>
            <w:pPr>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bCs/>
                <w:sz w:val="24"/>
                <w:szCs w:val="24"/>
                <w:lang w:eastAsia="zh-CN"/>
              </w:rPr>
              <w:t>响应招标文件</w:t>
            </w:r>
          </w:p>
        </w:tc>
        <w:tc>
          <w:tcPr>
            <w:tcW w:w="678" w:type="dxa"/>
            <w:vAlign w:val="center"/>
          </w:tcPr>
          <w:p>
            <w:pPr>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bCs/>
                <w:sz w:val="24"/>
                <w:szCs w:val="24"/>
              </w:rPr>
              <w:t>17</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lang w:eastAsia="zh-CN"/>
              </w:rPr>
              <w:t>套</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i w:val="0"/>
                <w:color w:val="000000"/>
                <w:kern w:val="0"/>
                <w:sz w:val="21"/>
                <w:szCs w:val="21"/>
                <w:u w:val="none"/>
                <w:lang w:val="en-US" w:eastAsia="zh-CN" w:bidi="ar"/>
              </w:rPr>
              <w:t>合计</w:t>
            </w:r>
          </w:p>
        </w:tc>
        <w:tc>
          <w:tcPr>
            <w:tcW w:w="8600" w:type="dxa"/>
            <w:gridSpan w:val="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b w:val="0"/>
                <w:bCs w:val="0"/>
                <w:i w:val="0"/>
                <w:color w:val="000000"/>
                <w:kern w:val="0"/>
                <w:sz w:val="21"/>
                <w:szCs w:val="21"/>
                <w:u w:val="none"/>
                <w:lang w:val="en-US" w:eastAsia="zh-CN" w:bidi="ar"/>
              </w:rPr>
              <w:t>大写：</w:t>
            </w:r>
            <w:r>
              <w:rPr>
                <w:rFonts w:hint="eastAsia" w:ascii="仿宋" w:hAnsi="仿宋" w:eastAsia="仿宋" w:cs="仿宋"/>
                <w:b w:val="0"/>
                <w:bCs w:val="0"/>
                <w:i w:val="0"/>
                <w:color w:val="000000"/>
                <w:kern w:val="0"/>
                <w:sz w:val="21"/>
                <w:szCs w:val="21"/>
                <w:u w:val="single"/>
                <w:lang w:val="en-US" w:eastAsia="zh-CN" w:bidi="ar"/>
              </w:rPr>
              <w:t xml:space="preserve">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元整（¥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w:t>
            </w:r>
          </w:p>
        </w:tc>
      </w:tr>
    </w:tbl>
    <w:p>
      <w:pPr>
        <w:rPr>
          <w:rFonts w:ascii="仿宋" w:hAnsi="仿宋" w:eastAsia="仿宋"/>
          <w:color w:val="000000" w:themeColor="text1"/>
          <w:sz w:val="24"/>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hint="eastAsia" w:ascii="仿宋" w:hAnsi="仿宋" w:eastAsia="仿宋"/>
          <w:color w:val="000000" w:themeColor="text1"/>
          <w:sz w:val="24"/>
        </w:rPr>
      </w:pPr>
      <w:r>
        <w:rPr>
          <w:rFonts w:hint="eastAsia" w:ascii="仿宋" w:hAnsi="仿宋" w:eastAsia="仿宋"/>
          <w:color w:val="000000" w:themeColor="text1"/>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80184"/>
    <w:multiLevelType w:val="singleLevel"/>
    <w:tmpl w:val="BB080184"/>
    <w:lvl w:ilvl="0" w:tentative="0">
      <w:start w:val="1"/>
      <w:numFmt w:val="decimal"/>
      <w:lvlText w:val="%1."/>
      <w:lvlJc w:val="left"/>
      <w:pPr>
        <w:tabs>
          <w:tab w:val="left" w:pos="312"/>
        </w:tabs>
      </w:pPr>
    </w:lvl>
  </w:abstractNum>
  <w:abstractNum w:abstractNumId="1">
    <w:nsid w:val="44F22FF4"/>
    <w:multiLevelType w:val="multilevel"/>
    <w:tmpl w:val="44F22FF4"/>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29F0788"/>
    <w:rsid w:val="0DF12A0C"/>
    <w:rsid w:val="11D75D61"/>
    <w:rsid w:val="18462C05"/>
    <w:rsid w:val="1AA22356"/>
    <w:rsid w:val="1E817C6E"/>
    <w:rsid w:val="261E5BD6"/>
    <w:rsid w:val="26E85221"/>
    <w:rsid w:val="2E350BF7"/>
    <w:rsid w:val="321F73AA"/>
    <w:rsid w:val="32274E71"/>
    <w:rsid w:val="38806F68"/>
    <w:rsid w:val="406F0267"/>
    <w:rsid w:val="41AC0A71"/>
    <w:rsid w:val="45147ED2"/>
    <w:rsid w:val="46FA36AF"/>
    <w:rsid w:val="470D29FD"/>
    <w:rsid w:val="491A430A"/>
    <w:rsid w:val="4CCE6F95"/>
    <w:rsid w:val="5A4D251F"/>
    <w:rsid w:val="5A52694C"/>
    <w:rsid w:val="5C8137F0"/>
    <w:rsid w:val="6628674B"/>
    <w:rsid w:val="6678268C"/>
    <w:rsid w:val="6A75632C"/>
    <w:rsid w:val="73684614"/>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link w:val="3"/>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link w:val="2"/>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 w:type="character" w:customStyle="1" w:styleId="24">
    <w:name w:val="font61"/>
    <w:basedOn w:val="10"/>
    <w:qFormat/>
    <w:uiPriority w:val="0"/>
    <w:rPr>
      <w:rFonts w:hint="eastAsia" w:ascii="宋体" w:hAnsi="宋体" w:eastAsia="宋体" w:cs="宋体"/>
      <w:color w:val="000000"/>
      <w:sz w:val="22"/>
      <w:szCs w:val="22"/>
      <w:u w:val="none"/>
    </w:rPr>
  </w:style>
  <w:style w:type="character" w:customStyle="1" w:styleId="25">
    <w:name w:val="font51"/>
    <w:basedOn w:val="10"/>
    <w:qFormat/>
    <w:uiPriority w:val="0"/>
    <w:rPr>
      <w:rFonts w:ascii="华文细黑" w:hAnsi="华文细黑" w:eastAsia="华文细黑" w:cs="华文细黑"/>
      <w:color w:val="000000"/>
      <w:sz w:val="22"/>
      <w:szCs w:val="22"/>
      <w:u w:val="none"/>
    </w:rPr>
  </w:style>
  <w:style w:type="character" w:customStyle="1" w:styleId="26">
    <w:name w:val="font31"/>
    <w:basedOn w:val="10"/>
    <w:qFormat/>
    <w:uiPriority w:val="0"/>
    <w:rPr>
      <w:rFonts w:hint="eastAsia" w:ascii="微软雅黑" w:hAnsi="微软雅黑" w:eastAsia="微软雅黑" w:cs="微软雅黑"/>
      <w:b/>
      <w:color w:val="000000"/>
      <w:sz w:val="20"/>
      <w:szCs w:val="20"/>
      <w:u w:val="none"/>
    </w:rPr>
  </w:style>
  <w:style w:type="character" w:customStyle="1" w:styleId="27">
    <w:name w:val="font21"/>
    <w:basedOn w:val="10"/>
    <w:qFormat/>
    <w:uiPriority w:val="0"/>
    <w:rPr>
      <w:rFonts w:hint="eastAsia" w:ascii="宋体" w:hAnsi="宋体" w:eastAsia="宋体" w:cs="宋体"/>
      <w:b/>
      <w:color w:val="000000"/>
      <w:sz w:val="20"/>
      <w:szCs w:val="20"/>
      <w:u w:val="none"/>
    </w:rPr>
  </w:style>
  <w:style w:type="character" w:customStyle="1" w:styleId="28">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734</Words>
  <Characters>4186</Characters>
  <Lines>34</Lines>
  <Paragraphs>9</Paragraphs>
  <TotalTime>0</TotalTime>
  <ScaleCrop>false</ScaleCrop>
  <LinksUpToDate>false</LinksUpToDate>
  <CharactersWithSpaces>4911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2020-11-05T08:05:29Z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