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76" w:rsidRDefault="00D378C9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  <w:bookmarkStart w:id="0" w:name="_Toc336050918"/>
      <w:bookmarkStart w:id="1" w:name="_Toc236902195"/>
      <w:bookmarkStart w:id="2" w:name="_Toc236903719"/>
      <w:bookmarkStart w:id="3" w:name="_Toc238279898"/>
      <w:bookmarkStart w:id="4" w:name="_Toc236902812"/>
      <w:bookmarkStart w:id="5" w:name="_Toc236902816"/>
      <w:bookmarkStart w:id="6" w:name="_Toc484543452"/>
      <w:bookmarkStart w:id="7" w:name="_Toc236902199"/>
      <w:bookmarkStart w:id="8" w:name="_Toc236903414"/>
      <w:bookmarkStart w:id="9" w:name="_Toc257068560"/>
      <w:bookmarkStart w:id="10" w:name="_Toc258457148"/>
      <w:bookmarkStart w:id="11" w:name="_Toc236901725"/>
      <w:bookmarkStart w:id="12" w:name="_Toc236901721"/>
      <w:bookmarkStart w:id="13" w:name="_Toc257068556"/>
      <w:bookmarkStart w:id="14" w:name="_Toc236903418"/>
      <w:bookmarkStart w:id="15" w:name="_Toc335923561"/>
      <w:bookmarkStart w:id="16" w:name="_Toc236902037"/>
      <w:bookmarkStart w:id="17" w:name="_Toc236903715"/>
      <w:bookmarkStart w:id="18" w:name="_Toc238279902"/>
      <w:bookmarkStart w:id="19" w:name="_Toc335923557"/>
      <w:bookmarkStart w:id="20" w:name="_Toc258457144"/>
      <w:bookmarkStart w:id="21" w:name="_Toc336050914"/>
      <w:bookmarkStart w:id="22" w:name="_Toc236902041"/>
      <w:bookmarkStart w:id="23" w:name="_Toc157410886"/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湖州师范学院医学院原发免疫性血小板减少症（ITP）患者单细胞转录组测序项目采购文件</w:t>
      </w:r>
    </w:p>
    <w:p w:rsidR="00D62C76" w:rsidRDefault="00D378C9">
      <w:pPr>
        <w:ind w:firstLineChars="200" w:firstLine="482"/>
        <w:rPr>
          <w:rFonts w:ascii="仿宋" w:eastAsia="仿宋" w:hAnsi="仿宋" w:cs="宋体"/>
          <w:b/>
          <w:sz w:val="24"/>
          <w:u w:val="single"/>
        </w:rPr>
      </w:pPr>
      <w:r>
        <w:rPr>
          <w:rFonts w:ascii="仿宋" w:eastAsia="仿宋" w:hAnsi="仿宋" w:cs="宋体" w:hint="eastAsia"/>
          <w:b/>
          <w:sz w:val="24"/>
        </w:rPr>
        <w:t>一、</w:t>
      </w:r>
      <w:bookmarkStart w:id="24" w:name="_Toc336050921"/>
      <w:bookmarkStart w:id="25" w:name="_Toc236902202"/>
      <w:bookmarkStart w:id="26" w:name="_Toc236902044"/>
      <w:bookmarkStart w:id="27" w:name="_Toc257068563"/>
      <w:bookmarkStart w:id="28" w:name="_Toc236902819"/>
      <w:bookmarkStart w:id="29" w:name="_Toc236903421"/>
      <w:bookmarkStart w:id="30" w:name="_Toc238279905"/>
      <w:bookmarkStart w:id="31" w:name="_Toc258457151"/>
      <w:bookmarkStart w:id="32" w:name="_Toc236903722"/>
      <w:bookmarkStart w:id="33" w:name="_Toc236901728"/>
      <w:bookmarkStart w:id="34" w:name="_Toc33592356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ascii="仿宋" w:eastAsia="仿宋" w:hAnsi="仿宋" w:hint="eastAsia"/>
          <w:b/>
          <w:bCs/>
          <w:sz w:val="24"/>
        </w:rPr>
        <w:t>采购项目名称及设备清单及要求：</w:t>
      </w:r>
    </w:p>
    <w:p w:rsidR="00D62C76" w:rsidRDefault="00D378C9">
      <w:pPr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1. 采购项目名称：</w:t>
      </w:r>
      <w:r>
        <w:rPr>
          <w:rFonts w:ascii="仿宋" w:eastAsia="仿宋" w:hAnsi="仿宋" w:cs="宋体" w:hint="eastAsia"/>
          <w:kern w:val="0"/>
          <w:sz w:val="24"/>
        </w:rPr>
        <w:t>湖州师范学院医学院原发免疫性血小板减少症（ITP）患者单细胞转录组测序项目</w:t>
      </w:r>
    </w:p>
    <w:p w:rsidR="00D62C76" w:rsidRDefault="00D378C9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 采购项目编号: XZ2021-120</w:t>
      </w:r>
    </w:p>
    <w:p w:rsidR="00D62C76" w:rsidRDefault="00D378C9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 采购组织类型：分散采购自行组织</w:t>
      </w:r>
    </w:p>
    <w:p w:rsidR="00D62C76" w:rsidRDefault="00D378C9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 采购方式：校内询价</w:t>
      </w:r>
    </w:p>
    <w:p w:rsidR="00D62C76" w:rsidRDefault="00D378C9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 采购预算：人民币壹拾玖万贰仟元整（￥192000元）,包含服务费、设备费、咨询费、人工费、食宿费、交通费、税费等全部费用。</w:t>
      </w:r>
    </w:p>
    <w:p w:rsidR="00D62C76" w:rsidRDefault="00D378C9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 采购内容及数量：</w:t>
      </w:r>
    </w:p>
    <w:tbl>
      <w:tblPr>
        <w:tblW w:w="89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60"/>
        <w:gridCol w:w="1828"/>
        <w:gridCol w:w="4694"/>
        <w:gridCol w:w="709"/>
        <w:gridCol w:w="1029"/>
      </w:tblGrid>
      <w:tr w:rsidR="00D62C76">
        <w:trPr>
          <w:trHeight w:val="703"/>
          <w:jc w:val="center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62C76" w:rsidRDefault="00D378C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2C76" w:rsidRDefault="00D378C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vAlign w:val="center"/>
          </w:tcPr>
          <w:p w:rsidR="00D62C76" w:rsidRDefault="00D378C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服务内容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62C76" w:rsidRDefault="00D378C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10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2C76" w:rsidRDefault="00D378C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D62C76">
        <w:trPr>
          <w:trHeight w:val="1145"/>
          <w:jc w:val="center"/>
        </w:trPr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D62C76" w:rsidRDefault="00D378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D62C76" w:rsidRDefault="00D378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湖州师范学院医学院原发免疫性血小板减少症（ITP）患者单细胞转录组测序项目</w:t>
            </w:r>
          </w:p>
        </w:tc>
        <w:tc>
          <w:tcPr>
            <w:tcW w:w="4694" w:type="dxa"/>
            <w:vAlign w:val="center"/>
          </w:tcPr>
          <w:p w:rsidR="00D62C76" w:rsidRDefault="00D378C9" w:rsidP="00B4390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完成</w:t>
            </w:r>
            <w:r w:rsidR="00B43905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个（物种:人）外周血单个核细胞（PBMC）及骨髓样品的单细胞转录组测序服务，完成每个样品分选出来并建库的细胞合计测序数据量为1</w:t>
            </w:r>
            <w:r>
              <w:rPr>
                <w:rFonts w:ascii="仿宋" w:eastAsia="仿宋" w:hAnsi="仿宋" w:cs="宋体"/>
                <w:kern w:val="0"/>
                <w:sz w:val="24"/>
              </w:rPr>
              <w:t>00G/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样本，并完成相应的基本数据分析及定制数据分析服务。</w:t>
            </w:r>
          </w:p>
        </w:tc>
        <w:tc>
          <w:tcPr>
            <w:tcW w:w="709" w:type="dxa"/>
            <w:vAlign w:val="center"/>
          </w:tcPr>
          <w:p w:rsidR="00D62C76" w:rsidRDefault="00D378C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1项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D62C76" w:rsidRDefault="00D378C9">
            <w:pPr>
              <w:tabs>
                <w:tab w:val="left" w:pos="2547"/>
              </w:tabs>
              <w:ind w:rightChars="-11" w:right="-31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服务技术参数要求详见</w:t>
            </w:r>
            <w:r>
              <w:rPr>
                <w:rFonts w:ascii="仿宋" w:eastAsia="仿宋" w:hAnsi="仿宋" w:hint="eastAsia"/>
                <w:b/>
                <w:sz w:val="24"/>
              </w:rPr>
              <w:t>附件1</w:t>
            </w:r>
          </w:p>
        </w:tc>
      </w:tr>
    </w:tbl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:rsidR="00D62C76" w:rsidRDefault="00D378C9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7.试验成果要求：提交的实验结果仅供科学研究使用，实验报告中包括完整的测序实验报告（硬盘或</w:t>
      </w:r>
      <w:r w:rsidR="00B43905">
        <w:rPr>
          <w:rFonts w:ascii="仿宋" w:eastAsia="仿宋" w:hAnsi="仿宋" w:hint="eastAsia"/>
          <w:sz w:val="24"/>
        </w:rPr>
        <w:t>网盘</w:t>
      </w:r>
      <w:r>
        <w:rPr>
          <w:rFonts w:ascii="仿宋" w:eastAsia="仿宋" w:hAnsi="仿宋" w:hint="eastAsia"/>
          <w:sz w:val="24"/>
        </w:rPr>
        <w:t>系统），详见：</w:t>
      </w:r>
      <w:r>
        <w:rPr>
          <w:rFonts w:ascii="仿宋" w:eastAsia="仿宋" w:hAnsi="仿宋" w:hint="eastAsia"/>
          <w:sz w:val="24"/>
        </w:rPr>
        <w:br/>
        <w:t xml:space="preserve">     （1） 转化成 fastq 格式的原始测序数据文件；</w:t>
      </w:r>
      <w:r>
        <w:rPr>
          <w:rFonts w:ascii="仿宋" w:eastAsia="仿宋" w:hAnsi="仿宋" w:hint="eastAsia"/>
          <w:sz w:val="24"/>
        </w:rPr>
        <w:br/>
        <w:t xml:space="preserve">     （2） 基础分析结果；</w:t>
      </w:r>
      <w:r>
        <w:rPr>
          <w:rFonts w:ascii="仿宋" w:eastAsia="仿宋" w:hAnsi="仿宋" w:hint="eastAsia"/>
          <w:sz w:val="24"/>
        </w:rPr>
        <w:br/>
        <w:t xml:space="preserve">     （3） 实验结果及基础分析报告；</w:t>
      </w:r>
      <w:r>
        <w:rPr>
          <w:rFonts w:ascii="仿宋" w:eastAsia="仿宋" w:hAnsi="仿宋" w:hint="eastAsia"/>
          <w:sz w:val="24"/>
        </w:rPr>
        <w:br/>
        <w:t xml:space="preserve">     （4） 高级数据分析结果。</w:t>
      </w:r>
    </w:p>
    <w:p w:rsidR="00D62C76" w:rsidRDefault="00D378C9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二、投标人资质要求及投标文件要求</w:t>
      </w:r>
    </w:p>
    <w:p w:rsidR="00D62C76" w:rsidRDefault="00D378C9">
      <w:pPr>
        <w:spacing w:line="340" w:lineRule="exact"/>
        <w:ind w:firstLineChars="200" w:firstLine="480"/>
        <w:jc w:val="left"/>
        <w:rPr>
          <w:rFonts w:ascii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 w:rsidR="00D62C76" w:rsidRDefault="00D378C9">
      <w:pPr>
        <w:spacing w:line="34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hint="eastAsia"/>
          <w:sz w:val="24"/>
        </w:rPr>
        <w:t>1.投标报价清单(</w:t>
      </w:r>
      <w:r>
        <w:rPr>
          <w:rFonts w:ascii="仿宋" w:eastAsia="仿宋" w:hAnsi="仿宋" w:cs="仿宋_GB2312" w:hint="eastAsia"/>
          <w:sz w:val="24"/>
        </w:rPr>
        <w:t>含</w:t>
      </w:r>
      <w:r>
        <w:rPr>
          <w:rFonts w:ascii="仿宋" w:eastAsia="仿宋" w:hAnsi="仿宋" w:hint="eastAsia"/>
          <w:sz w:val="24"/>
        </w:rPr>
        <w:t>服务费、设备费、咨询费、人工费、食宿费、交通费、税费等全部费用。投标报价高于采购预算视为无效报价。报价以人民币计，并以大写为准)</w:t>
      </w:r>
      <w:r>
        <w:rPr>
          <w:rFonts w:ascii="仿宋" w:eastAsia="仿宋" w:hAnsi="仿宋" w:cs="宋体" w:hint="eastAsia"/>
          <w:sz w:val="24"/>
        </w:rPr>
        <w:t>。</w:t>
      </w:r>
      <w:r>
        <w:rPr>
          <w:rFonts w:ascii="仿宋" w:eastAsia="仿宋" w:hAnsi="仿宋" w:cs="仿宋_GB2312" w:hint="eastAsia"/>
          <w:b/>
          <w:bCs/>
          <w:sz w:val="24"/>
        </w:rPr>
        <w:t>投标报价清单见附件2；</w:t>
      </w:r>
    </w:p>
    <w:p w:rsidR="00D62C76" w:rsidRDefault="00D378C9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2.营业执照副本复印件；</w:t>
      </w:r>
    </w:p>
    <w:p w:rsidR="00D62C76" w:rsidRDefault="00D378C9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3.投标人开户银行、户名、账号；</w:t>
      </w:r>
    </w:p>
    <w:p w:rsidR="00D62C76" w:rsidRDefault="00D378C9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4.投标代表身份证复印件；如非法定代表人投标，另提供法定代表人授权委托书原件、法定代表人身份证复印件；投标代表需提供在本单位近三个月缴纳社保的凭证;</w:t>
      </w:r>
    </w:p>
    <w:p w:rsidR="00D62C76" w:rsidRDefault="00D378C9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5.投标人服务实施方案、服务质量承诺和售后服务承诺（包含：项目技术服务人员姓名、联系电话）；</w:t>
      </w:r>
    </w:p>
    <w:p w:rsidR="00D62C76" w:rsidRDefault="00D378C9">
      <w:pPr>
        <w:shd w:val="clear" w:color="auto" w:fill="FFFFFF"/>
        <w:ind w:firstLineChars="200" w:firstLine="4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6.投标人有B</w:t>
      </w:r>
      <w:r>
        <w:rPr>
          <w:rFonts w:ascii="仿宋" w:eastAsia="仿宋" w:hAnsi="仿宋" w:cs="仿宋_GB2312"/>
          <w:sz w:val="24"/>
        </w:rPr>
        <w:t>D</w:t>
      </w:r>
      <w:r>
        <w:rPr>
          <w:rFonts w:ascii="仿宋" w:eastAsia="仿宋" w:hAnsi="仿宋" w:cs="仿宋_GB2312" w:hint="eastAsia"/>
          <w:sz w:val="24"/>
        </w:rPr>
        <w:t>公司官方授权的单细胞研究联合实验室资质授权证明；</w:t>
      </w:r>
    </w:p>
    <w:p w:rsidR="00D62C76" w:rsidRDefault="00D378C9">
      <w:pPr>
        <w:shd w:val="clear" w:color="auto" w:fill="FFFFFF"/>
        <w:ind w:firstLineChars="200" w:firstLine="4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7.投标人协助发表2篇影响因子2</w:t>
      </w:r>
      <w:r>
        <w:rPr>
          <w:rFonts w:ascii="仿宋" w:eastAsia="仿宋" w:hAnsi="仿宋" w:cs="仿宋_GB2312"/>
          <w:sz w:val="24"/>
        </w:rPr>
        <w:t>0</w:t>
      </w:r>
      <w:r>
        <w:rPr>
          <w:rFonts w:ascii="仿宋" w:eastAsia="仿宋" w:hAnsi="仿宋" w:cs="仿宋_GB2312" w:hint="eastAsia"/>
          <w:sz w:val="24"/>
        </w:rPr>
        <w:t>以上（I</w:t>
      </w:r>
      <w:r>
        <w:rPr>
          <w:rFonts w:ascii="仿宋" w:eastAsia="仿宋" w:hAnsi="仿宋" w:cs="仿宋_GB2312"/>
          <w:sz w:val="24"/>
        </w:rPr>
        <w:t>F</w:t>
      </w:r>
      <w:r>
        <w:rPr>
          <w:rFonts w:ascii="仿宋" w:eastAsia="仿宋" w:hAnsi="仿宋" w:cs="仿宋_GB2312" w:hint="eastAsia"/>
          <w:sz w:val="24"/>
        </w:rPr>
        <w:t>＞2</w:t>
      </w:r>
      <w:r>
        <w:rPr>
          <w:rFonts w:ascii="仿宋" w:eastAsia="仿宋" w:hAnsi="仿宋" w:cs="仿宋_GB2312"/>
          <w:sz w:val="24"/>
        </w:rPr>
        <w:t>0</w:t>
      </w:r>
      <w:r>
        <w:rPr>
          <w:rFonts w:ascii="仿宋" w:eastAsia="仿宋" w:hAnsi="仿宋" w:cs="仿宋_GB2312" w:hint="eastAsia"/>
          <w:sz w:val="24"/>
        </w:rPr>
        <w:t>）的</w:t>
      </w:r>
      <w:r w:rsidR="00B43905">
        <w:rPr>
          <w:rFonts w:ascii="仿宋" w:eastAsia="仿宋" w:hAnsi="仿宋" w:cs="仿宋_GB2312" w:hint="eastAsia"/>
          <w:sz w:val="24"/>
        </w:rPr>
        <w:t>应用单细胞测序技术的</w:t>
      </w:r>
      <w:r>
        <w:rPr>
          <w:rFonts w:ascii="仿宋" w:eastAsia="仿宋" w:hAnsi="仿宋" w:cs="仿宋_GB2312" w:hint="eastAsia"/>
          <w:sz w:val="24"/>
        </w:rPr>
        <w:t>论文复印件；</w:t>
      </w:r>
    </w:p>
    <w:p w:rsidR="00D62C76" w:rsidRDefault="00D378C9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8.提供自采购公告发布之日起至开标截止时间止的“信用中国”网站</w:t>
      </w:r>
      <w:r>
        <w:rPr>
          <w:rFonts w:ascii="仿宋" w:eastAsia="仿宋" w:hAnsi="仿宋" w:hint="eastAsia"/>
          <w:sz w:val="24"/>
        </w:rPr>
        <w:lastRenderedPageBreak/>
        <w:t>（</w:t>
      </w:r>
      <w:r>
        <w:rPr>
          <w:rFonts w:ascii="仿宋" w:eastAsia="仿宋" w:hAnsi="仿宋"/>
          <w:sz w:val="24"/>
        </w:rPr>
        <w:t>www.creditchina.gov.cn</w:t>
      </w:r>
      <w:r>
        <w:rPr>
          <w:rFonts w:ascii="仿宋" w:eastAsia="仿宋" w:hAnsi="仿宋" w:hint="eastAsia"/>
          <w:sz w:val="24"/>
        </w:rPr>
        <w:t>）、中国政府采购网（</w:t>
      </w:r>
      <w:r>
        <w:rPr>
          <w:rFonts w:ascii="仿宋" w:eastAsia="仿宋" w:hAnsi="仿宋"/>
          <w:sz w:val="24"/>
        </w:rPr>
        <w:t>www.ccgp.gov.cn</w:t>
      </w:r>
      <w:r>
        <w:rPr>
          <w:rFonts w:ascii="仿宋" w:eastAsia="仿宋" w:hAnsi="仿宋" w:hint="eastAsia"/>
          <w:sz w:val="24"/>
        </w:rPr>
        <w:t>）、</w:t>
      </w:r>
      <w:r>
        <w:rPr>
          <w:rFonts w:ascii="仿宋" w:eastAsia="仿宋" w:hAnsi="仿宋" w:cs="仿宋_GB2312" w:hint="eastAsia"/>
          <w:sz w:val="24"/>
        </w:rPr>
        <w:t>“浙江政府采购网”（</w:t>
      </w:r>
      <w:r>
        <w:rPr>
          <w:rFonts w:ascii="仿宋" w:eastAsia="仿宋" w:hAnsi="仿宋" w:cs="仿宋_GB2312"/>
          <w:sz w:val="24"/>
        </w:rPr>
        <w:t>www.zjzfcg.gov.cn</w:t>
      </w:r>
      <w:r>
        <w:rPr>
          <w:rFonts w:ascii="仿宋" w:eastAsia="仿宋" w:hAnsi="仿宋" w:cs="仿宋_GB2312" w:hint="eastAsia"/>
          <w:sz w:val="24"/>
        </w:rPr>
        <w:t>）</w:t>
      </w:r>
      <w:r>
        <w:rPr>
          <w:rFonts w:ascii="仿宋" w:eastAsia="仿宋" w:hAnsi="仿宋" w:hint="eastAsia"/>
          <w:sz w:val="24"/>
        </w:rPr>
        <w:t>投标人信用查询网页截图（至少提供2个）（以开标当日采购人核实的查询结果为准）；</w:t>
      </w:r>
    </w:p>
    <w:p w:rsidR="00D62C76" w:rsidRDefault="00D378C9">
      <w:pPr>
        <w:spacing w:line="340" w:lineRule="exact"/>
        <w:ind w:firstLineChars="200" w:firstLine="4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hint="eastAsia"/>
          <w:sz w:val="24"/>
        </w:rPr>
        <w:t>9.</w:t>
      </w:r>
      <w:r>
        <w:rPr>
          <w:rFonts w:ascii="仿宋" w:eastAsia="仿宋" w:hAnsi="仿宋" w:cs="仿宋_GB2312" w:hint="eastAsia"/>
          <w:sz w:val="24"/>
        </w:rPr>
        <w:t>其他相关材料（</w:t>
      </w:r>
      <w:r>
        <w:rPr>
          <w:rFonts w:ascii="仿宋" w:eastAsia="仿宋" w:hAnsi="仿宋" w:hint="eastAsia"/>
          <w:sz w:val="24"/>
        </w:rPr>
        <w:t>采购文件采购清单要求提供</w:t>
      </w:r>
      <w:r>
        <w:rPr>
          <w:rFonts w:ascii="仿宋" w:eastAsia="仿宋" w:hAnsi="仿宋" w:cs="仿宋_GB2312" w:hint="eastAsia"/>
          <w:sz w:val="24"/>
        </w:rPr>
        <w:t>的证明材料等）。</w:t>
      </w:r>
    </w:p>
    <w:p w:rsidR="00D62C76" w:rsidRDefault="00D378C9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三、投标文件递交及开标时间</w:t>
      </w:r>
    </w:p>
    <w:p w:rsidR="00D62C76" w:rsidRDefault="00D378C9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1.开标时间：2021年10月1</w:t>
      </w:r>
      <w:r w:rsidR="001B6583"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 w:hint="eastAsia"/>
          <w:sz w:val="24"/>
        </w:rPr>
        <w:t>日14：30</w:t>
      </w:r>
    </w:p>
    <w:p w:rsidR="00D62C76" w:rsidRDefault="00D378C9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2.开标地点：湖州市二环东路759号湖州师范学院东校区明达楼204室</w:t>
      </w:r>
    </w:p>
    <w:p w:rsidR="00D62C76" w:rsidRDefault="00D378C9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3.联系人：张老师</w:t>
      </w:r>
    </w:p>
    <w:p w:rsidR="00D62C76" w:rsidRDefault="00D378C9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4.电话：0572-2322188</w:t>
      </w:r>
    </w:p>
    <w:p w:rsidR="00D62C76" w:rsidRDefault="00D378C9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四、中标办法</w:t>
      </w:r>
    </w:p>
    <w:p w:rsidR="00D62C76" w:rsidRDefault="00D378C9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本项目根据报价、售后服务承诺等确定拟中标单位。</w:t>
      </w:r>
    </w:p>
    <w:p w:rsidR="00D62C76" w:rsidRDefault="00D378C9">
      <w:pPr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注：</w:t>
      </w:r>
      <w:r>
        <w:rPr>
          <w:rFonts w:ascii="仿宋" w:eastAsia="仿宋" w:hAnsi="仿宋" w:hint="eastAsia"/>
          <w:sz w:val="24"/>
        </w:rPr>
        <w:t>如出现废标情况，招标人将根据实际情况，采用“按序递补”或“重新招标”的方式重新确定中标人。</w:t>
      </w:r>
    </w:p>
    <w:p w:rsidR="00D62C76" w:rsidRDefault="005676D2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五</w:t>
      </w:r>
      <w:r w:rsidR="00D378C9">
        <w:rPr>
          <w:rFonts w:ascii="仿宋" w:eastAsia="仿宋" w:hAnsi="仿宋" w:hint="eastAsia"/>
          <w:b/>
          <w:bCs/>
          <w:sz w:val="24"/>
        </w:rPr>
        <w:t>、付款金额和方式</w:t>
      </w:r>
    </w:p>
    <w:p w:rsidR="00D62C76" w:rsidRDefault="00D378C9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双方签订协议后，在第一例样本测序前支付全款的5</w:t>
      </w:r>
      <w:r>
        <w:rPr>
          <w:rFonts w:ascii="仿宋" w:eastAsia="仿宋" w:hAnsi="仿宋"/>
          <w:sz w:val="24"/>
        </w:rPr>
        <w:t>0</w:t>
      </w:r>
      <w:r>
        <w:rPr>
          <w:rFonts w:ascii="仿宋" w:eastAsia="仿宋" w:hAnsi="仿宋" w:hint="eastAsia"/>
          <w:sz w:val="24"/>
        </w:rPr>
        <w:t>%费用，在完成所有样本测序后，经招标人验收合格后支付余款。中标人依法依规开具发票，招标人按合同约定原则上于14个工作日内（如遇特殊情况顺延）支付款项。</w:t>
      </w:r>
    </w:p>
    <w:p w:rsidR="00D62C76" w:rsidRDefault="005676D2">
      <w:pPr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六</w:t>
      </w:r>
      <w:r w:rsidR="00D378C9">
        <w:rPr>
          <w:rFonts w:ascii="仿宋" w:eastAsia="仿宋" w:hAnsi="仿宋" w:hint="eastAsia"/>
          <w:b/>
          <w:bCs/>
          <w:sz w:val="24"/>
        </w:rPr>
        <w:t>、服务时间及地点</w:t>
      </w:r>
    </w:p>
    <w:p w:rsidR="00D62C76" w:rsidRDefault="00D378C9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中标人需在</w:t>
      </w:r>
      <w:r>
        <w:rPr>
          <w:rFonts w:ascii="仿宋" w:eastAsia="仿宋" w:hAnsi="仿宋" w:hint="eastAsia"/>
          <w:b/>
          <w:sz w:val="24"/>
        </w:rPr>
        <w:t>合同签订后</w:t>
      </w:r>
      <w:r w:rsidR="003C0B1C">
        <w:rPr>
          <w:rFonts w:ascii="仿宋" w:eastAsia="仿宋" w:hAnsi="仿宋" w:hint="eastAsia"/>
          <w:b/>
          <w:sz w:val="24"/>
        </w:rPr>
        <w:t>,收到招标人的样本后</w:t>
      </w:r>
      <w:r>
        <w:rPr>
          <w:rFonts w:ascii="仿宋" w:eastAsia="仿宋" w:hAnsi="仿宋" w:hint="eastAsia"/>
          <w:b/>
          <w:sz w:val="24"/>
        </w:rPr>
        <w:t>30个</w:t>
      </w:r>
      <w:r w:rsidR="003C0B1C">
        <w:rPr>
          <w:rFonts w:ascii="仿宋" w:eastAsia="仿宋" w:hAnsi="仿宋" w:hint="eastAsia"/>
          <w:b/>
          <w:sz w:val="24"/>
        </w:rPr>
        <w:t>工作日</w:t>
      </w:r>
      <w:r>
        <w:rPr>
          <w:rFonts w:ascii="仿宋" w:eastAsia="仿宋" w:hAnsi="仿宋" w:hint="eastAsia"/>
          <w:b/>
          <w:sz w:val="24"/>
        </w:rPr>
        <w:t>内</w:t>
      </w:r>
      <w:r>
        <w:rPr>
          <w:rFonts w:ascii="仿宋" w:eastAsia="仿宋" w:hAnsi="仿宋" w:hint="eastAsia"/>
          <w:sz w:val="24"/>
        </w:rPr>
        <w:t>完成相应试验和分析工作，逾期交付，招标人有权单方面解除合同。</w:t>
      </w:r>
    </w:p>
    <w:p w:rsidR="00D62C76" w:rsidRDefault="005676D2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七</w:t>
      </w:r>
      <w:r w:rsidR="00D378C9">
        <w:rPr>
          <w:rFonts w:ascii="仿宋" w:eastAsia="仿宋" w:hAnsi="仿宋" w:hint="eastAsia"/>
          <w:b/>
          <w:bCs/>
          <w:sz w:val="24"/>
        </w:rPr>
        <w:t>、售后服务</w:t>
      </w:r>
    </w:p>
    <w:p w:rsidR="00D62C76" w:rsidRDefault="00D378C9">
      <w:pPr>
        <w:pStyle w:val="a3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自验收合格之日起，</w:t>
      </w:r>
      <w:r>
        <w:rPr>
          <w:rFonts w:ascii="仿宋" w:eastAsia="仿宋" w:hAnsi="仿宋" w:hint="eastAsia"/>
          <w:b/>
          <w:bCs/>
          <w:sz w:val="24"/>
        </w:rPr>
        <w:t>质保期3年</w:t>
      </w:r>
      <w:r>
        <w:rPr>
          <w:rFonts w:ascii="仿宋" w:eastAsia="仿宋" w:hAnsi="仿宋" w:hint="eastAsia"/>
          <w:sz w:val="24"/>
        </w:rPr>
        <w:t>，质保期内提供售后服务，对数据进行细分，个性化分析以及结果调整。</w:t>
      </w:r>
    </w:p>
    <w:p w:rsidR="00D62C76" w:rsidRDefault="005676D2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八</w:t>
      </w:r>
      <w:r w:rsidR="00D378C9">
        <w:rPr>
          <w:rFonts w:ascii="仿宋" w:eastAsia="仿宋" w:hAnsi="仿宋" w:hint="eastAsia"/>
          <w:b/>
          <w:bCs/>
          <w:sz w:val="24"/>
        </w:rPr>
        <w:t>、服务质量保证</w:t>
      </w:r>
    </w:p>
    <w:p w:rsidR="00D62C76" w:rsidRDefault="00D378C9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人须保证采用采购人要求的仪器设备、软件、方法等进行实验，保证数据的真实有效性，如采购人验收或使用时发现中标人提供的实验成果不满足合同要求，采购人将依据《中华人民共和国消费者权益保护法》和《浙江省实施〈中华人民共和国消费者权益保护法〉办法》等有关规定对中标人进行索赔。</w:t>
      </w:r>
    </w:p>
    <w:p w:rsidR="00D62C76" w:rsidRDefault="00675A3B" w:rsidP="00675A3B">
      <w:pPr>
        <w:spacing w:line="340" w:lineRule="exact"/>
        <w:ind w:firstLineChars="200" w:firstLine="480"/>
        <w:rPr>
          <w:rFonts w:ascii="仿宋" w:eastAsia="仿宋" w:hAnsi="仿宋" w:hint="eastAsia"/>
          <w:sz w:val="24"/>
        </w:rPr>
      </w:pPr>
      <w:r w:rsidRPr="00675A3B">
        <w:rPr>
          <w:rFonts w:ascii="仿宋" w:eastAsia="仿宋" w:hAnsi="仿宋" w:hint="eastAsia"/>
          <w:sz w:val="24"/>
        </w:rPr>
        <w:t>2.中标人供应的服务如不符合招标文件和合同要求，给采购人造成的损失及后果，全部由中标人承担。</w:t>
      </w:r>
    </w:p>
    <w:p w:rsidR="00675A3B" w:rsidRPr="00675A3B" w:rsidRDefault="00675A3B" w:rsidP="00675A3B">
      <w:pPr>
        <w:pStyle w:val="1"/>
        <w:ind w:firstLine="560"/>
      </w:pPr>
    </w:p>
    <w:p w:rsidR="00D62C76" w:rsidRDefault="00D378C9">
      <w:pPr>
        <w:spacing w:line="340" w:lineRule="exact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附件1：服务技术参数要求</w:t>
      </w:r>
    </w:p>
    <w:p w:rsidR="00D62C76" w:rsidRDefault="00D378C9">
      <w:pPr>
        <w:spacing w:line="340" w:lineRule="exact"/>
        <w:ind w:firstLineChars="200" w:firstLine="482"/>
        <w:rPr>
          <w:rFonts w:ascii="仿宋" w:eastAsia="仿宋" w:hAnsi="仿宋" w:cs="仿宋_GB2312" w:hint="eastAsia"/>
          <w:b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附件2：</w:t>
      </w:r>
      <w:r>
        <w:rPr>
          <w:rFonts w:ascii="仿宋" w:eastAsia="仿宋" w:hAnsi="仿宋" w:cs="仿宋_GB2312" w:hint="eastAsia"/>
          <w:b/>
          <w:bCs/>
          <w:sz w:val="24"/>
        </w:rPr>
        <w:t>投标报价清单</w:t>
      </w:r>
    </w:p>
    <w:p w:rsidR="00675A3B" w:rsidRPr="00675A3B" w:rsidRDefault="00675A3B" w:rsidP="00675A3B">
      <w:pPr>
        <w:pStyle w:val="1"/>
        <w:ind w:firstLine="560"/>
      </w:pPr>
    </w:p>
    <w:p w:rsidR="00D62C76" w:rsidRDefault="00D378C9">
      <w:pPr>
        <w:tabs>
          <w:tab w:val="left" w:pos="9298"/>
        </w:tabs>
        <w:spacing w:before="100"/>
        <w:ind w:right="84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湖州师范学院采购中心</w:t>
      </w:r>
    </w:p>
    <w:p w:rsidR="00D62C76" w:rsidRDefault="00D378C9">
      <w:pPr>
        <w:spacing w:before="100"/>
        <w:ind w:firstLineChars="200" w:firstLine="48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2021年</w:t>
      </w:r>
      <w:r w:rsidR="004D125C">
        <w:rPr>
          <w:rFonts w:ascii="仿宋" w:eastAsia="仿宋" w:hAnsi="仿宋" w:hint="eastAsia"/>
          <w:sz w:val="24"/>
        </w:rPr>
        <w:t>10</w:t>
      </w:r>
      <w:r>
        <w:rPr>
          <w:rFonts w:ascii="仿宋" w:eastAsia="仿宋" w:hAnsi="仿宋" w:hint="eastAsia"/>
          <w:sz w:val="24"/>
        </w:rPr>
        <w:t>月</w:t>
      </w:r>
      <w:r w:rsidR="004D125C"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 w:hint="eastAsia"/>
          <w:sz w:val="24"/>
        </w:rPr>
        <w:t>日</w:t>
      </w:r>
    </w:p>
    <w:p w:rsidR="00D62C76" w:rsidRDefault="00D378C9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  <w:r>
        <w:rPr>
          <w:rFonts w:ascii="仿宋" w:eastAsia="仿宋" w:hAnsi="仿宋" w:hint="eastAsia"/>
          <w:b/>
          <w:sz w:val="24"/>
        </w:rPr>
        <w:lastRenderedPageBreak/>
        <w:t>附件1：</w:t>
      </w:r>
    </w:p>
    <w:p w:rsidR="00D62C76" w:rsidRDefault="00D378C9">
      <w:pPr>
        <w:spacing w:before="100" w:line="340" w:lineRule="exact"/>
        <w:ind w:firstLineChars="200" w:firstLine="482"/>
        <w:jc w:val="center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服务技术参数要求</w:t>
      </w:r>
    </w:p>
    <w:p w:rsidR="00D62C76" w:rsidRDefault="00D62C76">
      <w:pPr>
        <w:spacing w:before="100" w:line="340" w:lineRule="exact"/>
        <w:ind w:firstLineChars="200" w:firstLine="482"/>
        <w:jc w:val="center"/>
        <w:rPr>
          <w:rFonts w:ascii="仿宋" w:eastAsia="仿宋" w:hAnsi="仿宋"/>
          <w:b/>
          <w:sz w:val="24"/>
        </w:rPr>
      </w:pPr>
    </w:p>
    <w:tbl>
      <w:tblPr>
        <w:tblW w:w="9229" w:type="dxa"/>
        <w:tblInd w:w="93" w:type="dxa"/>
        <w:tblLook w:val="04A0"/>
      </w:tblPr>
      <w:tblGrid>
        <w:gridCol w:w="660"/>
        <w:gridCol w:w="2840"/>
        <w:gridCol w:w="5729"/>
      </w:tblGrid>
      <w:tr w:rsidR="00D62C76">
        <w:trPr>
          <w:trHeight w:val="7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参数</w:t>
            </w:r>
          </w:p>
        </w:tc>
      </w:tr>
      <w:tr w:rsidR="00D62C76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检测样本总例数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完成12例样本的单细胞转录组测序服务（6例外周血单个核细胞、6例骨髓细胞）;</w:t>
            </w:r>
          </w:p>
        </w:tc>
      </w:tr>
      <w:tr w:rsidR="00D62C76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单细胞悬液制备服务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提供单细胞悬液制备服务;</w:t>
            </w:r>
          </w:p>
        </w:tc>
      </w:tr>
      <w:tr w:rsidR="00D62C76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活细胞比例、细胞数量、细胞体积&lt;40μm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 w:rsidP="00B439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活细胞比例&gt;80%，细胞数量&gt;1×10</w:t>
            </w:r>
            <w:r w:rsidR="00B43905" w:rsidRPr="00B43905">
              <w:rPr>
                <w:rFonts w:ascii="仿宋" w:eastAsia="仿宋" w:hAnsi="仿宋" w:cs="宋体"/>
                <w:color w:val="000000"/>
                <w:kern w:val="0"/>
                <w:sz w:val="24"/>
              </w:rPr>
              <w:t>^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6个，细胞体积&lt;40μm;</w:t>
            </w:r>
          </w:p>
        </w:tc>
      </w:tr>
      <w:tr w:rsidR="00D62C76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细胞活性及数量鉴定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细胞活性及数量鉴定采用BDScanner 全自动细胞荧光分析仪；</w:t>
            </w:r>
          </w:p>
        </w:tc>
      </w:tr>
      <w:tr w:rsidR="00D62C76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单细胞分选平台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采用BDRhapsody 单细胞分选平台;</w:t>
            </w:r>
          </w:p>
        </w:tc>
      </w:tr>
      <w:tr w:rsidR="00D62C76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细胞总数及活性要求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细胞总数不低于 10^5个，活性要求不低于 80%;</w:t>
            </w:r>
          </w:p>
        </w:tc>
      </w:tr>
      <w:tr w:rsidR="00D62C76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细胞捕获效率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细胞捕获效率不低于 85%；</w:t>
            </w:r>
          </w:p>
        </w:tc>
      </w:tr>
      <w:tr w:rsidR="00D62C76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细胞捕获数量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 w:rsidP="00B439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细胞捕获数量</w:t>
            </w:r>
            <w:r w:rsidR="00B439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3000-5000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个；</w:t>
            </w:r>
          </w:p>
        </w:tc>
      </w:tr>
      <w:tr w:rsidR="00D62C76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高通量测序数据量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高通量测序数据量不低于</w:t>
            </w:r>
            <w:r w:rsidR="00B439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G，IlluminaPE150 模式，Q30&gt;85%；</w:t>
            </w:r>
          </w:p>
        </w:tc>
      </w:tr>
      <w:tr w:rsidR="00D62C76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原始数据及低质量数据过滤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采用 Fastp 软件对原始数据进行处理，过滤掉低质量数据，并去掉无效序列、接头序列；</w:t>
            </w:r>
          </w:p>
        </w:tc>
      </w:tr>
      <w:tr w:rsidR="00D62C76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对原始数据分析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对原始数据进行分析，得到细胞数量，以及 Counts 数单个细胞的基因表达情况、测序饱和度、深度，双细胞的数量及占比等情况；</w:t>
            </w:r>
          </w:p>
        </w:tc>
      </w:tr>
      <w:tr w:rsidR="00D62C76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标准化分析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基于PCA 和MNN 算法的多样本 联合标准化分析（CellNormalization）；</w:t>
            </w:r>
          </w:p>
        </w:tc>
      </w:tr>
      <w:tr w:rsidR="00D62C76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细胞分群分析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基于t-SNE 、UMAP 和Graphbased 算法对细胞进行分群分析（细胞亚群分析）；</w:t>
            </w:r>
          </w:p>
        </w:tc>
      </w:tr>
      <w:tr w:rsidR="00D62C76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细胞类型鉴定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 CellMarker 及亚群注释打分系统的细胞亚群注释分析（细胞类型鉴定）；</w:t>
            </w:r>
          </w:p>
        </w:tc>
      </w:tr>
      <w:tr w:rsidR="00D62C76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细胞拟时序分析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 Monocle 算法的拟时序分析（Pseudo-time 分析）；</w:t>
            </w:r>
          </w:p>
        </w:tc>
      </w:tr>
      <w:tr w:rsidR="00D62C76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细胞速率分析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 RNAVelocity 算法进行细胞速率分析（RNAVelocity分析）；</w:t>
            </w:r>
          </w:p>
        </w:tc>
      </w:tr>
      <w:tr w:rsidR="00D62C76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B439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转</w:t>
            </w:r>
            <w:r w:rsidR="00D378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录因子调控强度分析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 SCENIC 算法进行单细胞转录因子调控强度分析（SCENIC分析）；</w:t>
            </w:r>
          </w:p>
        </w:tc>
      </w:tr>
      <w:tr w:rsidR="00D62C76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细胞间通讯分析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 CellPhoneDB 算法进行细胞间通讯分析（细胞间通讯分析）；</w:t>
            </w:r>
          </w:p>
        </w:tc>
      </w:tr>
      <w:tr w:rsidR="00D62C76">
        <w:trPr>
          <w:trHeight w:val="73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实施方案</w:t>
            </w:r>
          </w:p>
        </w:tc>
        <w:tc>
          <w:tcPr>
            <w:tcW w:w="5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实施方案（样本需保证活性，使用物理法或者酶解的方法进行单细胞悬液制备，并完成样本质检，此期间需要提供相应的技术指导，使用 BDRhapsody </w:t>
            </w:r>
            <w:r w:rsidR="00B439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平台，进行单细胞转录组测序，单个样本需要100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G 数据，并完成相应的数据分析及定制化分析，确保项目的高标准完成）;</w:t>
            </w:r>
          </w:p>
        </w:tc>
      </w:tr>
      <w:tr w:rsidR="00D62C76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6" w:rsidRDefault="00D62C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6" w:rsidRDefault="00D62C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76" w:rsidRDefault="00D62C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62C76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需要对单细胞悬液制备提供可行性的指导及协助操作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对单细胞悬液制备提供可行性指导及协助操作；</w:t>
            </w:r>
          </w:p>
        </w:tc>
      </w:tr>
      <w:tr w:rsidR="00D62C76">
        <w:trPr>
          <w:trHeight w:val="14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工作期限及保密</w:t>
            </w: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6" w:rsidRDefault="00D378C9" w:rsidP="00275A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▲需要在合同签订后</w:t>
            </w:r>
            <w:r w:rsidR="00275A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，收到招标人</w:t>
            </w:r>
            <w:r w:rsidR="00E3711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</w:t>
            </w:r>
            <w:r w:rsidR="00275A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样本后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30个</w:t>
            </w:r>
            <w:r w:rsidR="00275A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内完成相应试验和分析工作，并确保数据的保密不外泄；</w:t>
            </w:r>
          </w:p>
        </w:tc>
      </w:tr>
    </w:tbl>
    <w:p w:rsidR="00D62C76" w:rsidRDefault="00D62C76">
      <w:pPr>
        <w:widowControl/>
        <w:jc w:val="left"/>
        <w:rPr>
          <w:rFonts w:ascii="仿宋" w:eastAsia="仿宋" w:hAnsi="仿宋"/>
          <w:b/>
          <w:sz w:val="24"/>
        </w:rPr>
      </w:pPr>
    </w:p>
    <w:p w:rsidR="00D62C76" w:rsidRDefault="00D378C9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D62C76" w:rsidRDefault="00D378C9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附件2：</w:t>
      </w:r>
    </w:p>
    <w:p w:rsidR="00D62C76" w:rsidRDefault="00D378C9">
      <w:pPr>
        <w:spacing w:before="100" w:line="340" w:lineRule="exact"/>
        <w:ind w:firstLineChars="200" w:firstLine="482"/>
        <w:jc w:val="center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投标报价清单</w:t>
      </w:r>
    </w:p>
    <w:p w:rsidR="00D62C76" w:rsidRDefault="00D62C76">
      <w:pPr>
        <w:spacing w:before="100" w:line="340" w:lineRule="exact"/>
        <w:ind w:firstLineChars="200" w:firstLine="480"/>
        <w:jc w:val="center"/>
        <w:rPr>
          <w:rFonts w:ascii="仿宋" w:eastAsia="仿宋" w:hAnsi="仿宋"/>
          <w:sz w:val="24"/>
        </w:rPr>
      </w:pPr>
    </w:p>
    <w:p w:rsidR="00D62C76" w:rsidRDefault="00D378C9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项目名称：</w:t>
      </w:r>
      <w:r>
        <w:rPr>
          <w:rFonts w:ascii="仿宋" w:eastAsia="仿宋" w:hAnsi="仿宋" w:cs="宋体" w:hint="eastAsia"/>
          <w:kern w:val="0"/>
          <w:sz w:val="24"/>
        </w:rPr>
        <w:t>湖州师范学院医学院原发免疫性血小板减少症（ITP）患者单细胞转录组测序项目</w:t>
      </w:r>
    </w:p>
    <w:p w:rsidR="00D62C76" w:rsidRDefault="00D378C9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XZ2021-120</w:t>
      </w:r>
    </w:p>
    <w:p w:rsidR="00D62C76" w:rsidRDefault="00D62C76">
      <w:pPr>
        <w:spacing w:line="340" w:lineRule="exact"/>
        <w:jc w:val="left"/>
        <w:rPr>
          <w:rFonts w:ascii="仿宋" w:eastAsia="仿宋" w:hAnsi="仿宋"/>
          <w:sz w:val="24"/>
        </w:rPr>
      </w:pPr>
    </w:p>
    <w:tbl>
      <w:tblPr>
        <w:tblW w:w="102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61"/>
        <w:gridCol w:w="1701"/>
        <w:gridCol w:w="5245"/>
        <w:gridCol w:w="850"/>
        <w:gridCol w:w="1695"/>
      </w:tblGrid>
      <w:tr w:rsidR="00D62C76">
        <w:trPr>
          <w:trHeight w:val="451"/>
          <w:jc w:val="center"/>
        </w:trPr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D62C76" w:rsidRDefault="00D378C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2C76" w:rsidRDefault="00D378C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C76" w:rsidRDefault="00D378C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服务内容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62C76" w:rsidRDefault="00D378C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D62C76" w:rsidRDefault="00D378C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报价（元）</w:t>
            </w:r>
          </w:p>
        </w:tc>
      </w:tr>
      <w:tr w:rsidR="00D62C76">
        <w:trPr>
          <w:trHeight w:val="699"/>
          <w:jc w:val="center"/>
        </w:trPr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D62C76" w:rsidRDefault="00D378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62C76" w:rsidRDefault="00D378C9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湖州师范学院医学院原发免疫性血小板减少症（ITP）患者单细胞转录组测序项目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D62C76" w:rsidRDefault="00D378C9" w:rsidP="005676D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完成</w:t>
            </w:r>
            <w:r w:rsidR="00B43905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个（物种:人）外周血单个核细胞（PBMC）及骨髓样品的单细胞转录组测序服务，完成每个样品分选出来并建库的细胞合计测序数据量为1</w:t>
            </w:r>
            <w:r>
              <w:rPr>
                <w:rFonts w:ascii="仿宋" w:eastAsia="仿宋" w:hAnsi="仿宋" w:cs="宋体"/>
                <w:kern w:val="0"/>
                <w:sz w:val="24"/>
              </w:rPr>
              <w:t>00G/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样本，并完成相应的基本数据分析及定制数据分析服务。</w:t>
            </w:r>
          </w:p>
        </w:tc>
        <w:tc>
          <w:tcPr>
            <w:tcW w:w="850" w:type="dxa"/>
            <w:vAlign w:val="center"/>
          </w:tcPr>
          <w:p w:rsidR="00D62C76" w:rsidRDefault="00D378C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1项</w:t>
            </w:r>
          </w:p>
        </w:tc>
        <w:tc>
          <w:tcPr>
            <w:tcW w:w="1695" w:type="dxa"/>
            <w:vAlign w:val="center"/>
          </w:tcPr>
          <w:p w:rsidR="00D62C76" w:rsidRDefault="00D62C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2C76">
        <w:trPr>
          <w:trHeight w:val="841"/>
          <w:jc w:val="center"/>
        </w:trPr>
        <w:tc>
          <w:tcPr>
            <w:tcW w:w="24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C76" w:rsidRDefault="00D378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总计（元）</w:t>
            </w:r>
          </w:p>
        </w:tc>
        <w:tc>
          <w:tcPr>
            <w:tcW w:w="7790" w:type="dxa"/>
            <w:gridSpan w:val="3"/>
            <w:tcBorders>
              <w:left w:val="single" w:sz="4" w:space="0" w:color="auto"/>
            </w:tcBorders>
            <w:vAlign w:val="center"/>
          </w:tcPr>
          <w:p w:rsidR="00D62C76" w:rsidRDefault="00D378C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大写人民币：                       元（￥          元）</w:t>
            </w:r>
          </w:p>
        </w:tc>
      </w:tr>
    </w:tbl>
    <w:p w:rsidR="00D62C76" w:rsidRDefault="00D378C9">
      <w:pPr>
        <w:spacing w:before="100"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注：以上报价含服务费、设备费、咨询费、人工费、食宿费、交通费、税费等全部费用。</w:t>
      </w:r>
    </w:p>
    <w:p w:rsidR="00D62C76" w:rsidRDefault="00D62C76">
      <w:pPr>
        <w:spacing w:before="100" w:line="340" w:lineRule="exact"/>
        <w:jc w:val="left"/>
        <w:rPr>
          <w:rFonts w:ascii="仿宋" w:eastAsia="仿宋" w:hAnsi="仿宋"/>
          <w:sz w:val="24"/>
        </w:rPr>
      </w:pPr>
    </w:p>
    <w:p w:rsidR="00D62C76" w:rsidRDefault="00D378C9">
      <w:pPr>
        <w:wordWrap w:val="0"/>
        <w:spacing w:before="100" w:line="340" w:lineRule="exact"/>
        <w:ind w:right="1440" w:firstLineChars="2000" w:firstLine="480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授权代表签字</w:t>
      </w:r>
    </w:p>
    <w:p w:rsidR="00D62C76" w:rsidRDefault="00D378C9">
      <w:pPr>
        <w:spacing w:before="100" w:line="340" w:lineRule="exact"/>
        <w:ind w:right="120" w:firstLineChars="2000" w:firstLine="480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投标人（盖章）</w:t>
      </w:r>
    </w:p>
    <w:p w:rsidR="00D62C76" w:rsidRDefault="00D62C76">
      <w:pPr>
        <w:spacing w:before="100" w:line="340" w:lineRule="exact"/>
        <w:ind w:right="120" w:firstLineChars="2000" w:firstLine="4800"/>
        <w:jc w:val="left"/>
        <w:rPr>
          <w:rFonts w:ascii="仿宋" w:eastAsia="仿宋" w:hAnsi="仿宋"/>
          <w:sz w:val="24"/>
          <w:u w:val="single"/>
        </w:rPr>
      </w:pPr>
    </w:p>
    <w:p w:rsidR="00D62C76" w:rsidRDefault="00D378C9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2021年月日</w:t>
      </w:r>
    </w:p>
    <w:p w:rsidR="00D62C76" w:rsidRDefault="00D62C76">
      <w:pPr>
        <w:widowControl/>
        <w:jc w:val="left"/>
        <w:rPr>
          <w:rFonts w:ascii="仿宋" w:eastAsia="仿宋" w:hAnsi="仿宋"/>
          <w:b/>
          <w:sz w:val="24"/>
        </w:rPr>
      </w:pPr>
    </w:p>
    <w:sectPr w:rsidR="00D62C76" w:rsidSect="00CC261F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222" w:rsidRDefault="00297222" w:rsidP="006F32DF">
      <w:r>
        <w:separator/>
      </w:r>
    </w:p>
  </w:endnote>
  <w:endnote w:type="continuationSeparator" w:id="1">
    <w:p w:rsidR="00297222" w:rsidRDefault="00297222" w:rsidP="006F3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仿宋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222" w:rsidRDefault="00297222" w:rsidP="006F32DF">
      <w:r>
        <w:separator/>
      </w:r>
    </w:p>
  </w:footnote>
  <w:footnote w:type="continuationSeparator" w:id="1">
    <w:p w:rsidR="00297222" w:rsidRDefault="00297222" w:rsidP="006F32D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  <w15:person w15:author="Yao Yunliang">
    <w15:presenceInfo w15:providerId="Windows Live" w15:userId="2d03fde6804988e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932"/>
    <w:rsid w:val="000021CE"/>
    <w:rsid w:val="00030DDB"/>
    <w:rsid w:val="00053F1F"/>
    <w:rsid w:val="000563E1"/>
    <w:rsid w:val="00066A50"/>
    <w:rsid w:val="000753A7"/>
    <w:rsid w:val="000832DD"/>
    <w:rsid w:val="00084388"/>
    <w:rsid w:val="000A56F8"/>
    <w:rsid w:val="000C50D8"/>
    <w:rsid w:val="000D66D7"/>
    <w:rsid w:val="000E76D6"/>
    <w:rsid w:val="00105E7B"/>
    <w:rsid w:val="001146E4"/>
    <w:rsid w:val="001348E5"/>
    <w:rsid w:val="00136F89"/>
    <w:rsid w:val="00137604"/>
    <w:rsid w:val="00186D3A"/>
    <w:rsid w:val="001A4E4E"/>
    <w:rsid w:val="001A5373"/>
    <w:rsid w:val="001A691C"/>
    <w:rsid w:val="001B451A"/>
    <w:rsid w:val="001B6583"/>
    <w:rsid w:val="001C43FD"/>
    <w:rsid w:val="002015F0"/>
    <w:rsid w:val="00207D0C"/>
    <w:rsid w:val="00237858"/>
    <w:rsid w:val="00243DBD"/>
    <w:rsid w:val="00270BFC"/>
    <w:rsid w:val="00275A53"/>
    <w:rsid w:val="00282FB8"/>
    <w:rsid w:val="00292692"/>
    <w:rsid w:val="00297222"/>
    <w:rsid w:val="002A045C"/>
    <w:rsid w:val="002C0423"/>
    <w:rsid w:val="002C1B24"/>
    <w:rsid w:val="002F4D28"/>
    <w:rsid w:val="00323E83"/>
    <w:rsid w:val="003431BA"/>
    <w:rsid w:val="003532DA"/>
    <w:rsid w:val="0035642B"/>
    <w:rsid w:val="00372445"/>
    <w:rsid w:val="00390D24"/>
    <w:rsid w:val="00393D05"/>
    <w:rsid w:val="003B4F8D"/>
    <w:rsid w:val="003C0B1C"/>
    <w:rsid w:val="003D465D"/>
    <w:rsid w:val="003D604F"/>
    <w:rsid w:val="004017C7"/>
    <w:rsid w:val="00407BDA"/>
    <w:rsid w:val="00450A38"/>
    <w:rsid w:val="00454F90"/>
    <w:rsid w:val="0046700C"/>
    <w:rsid w:val="0047214C"/>
    <w:rsid w:val="00493FD5"/>
    <w:rsid w:val="004A23F4"/>
    <w:rsid w:val="004B03CC"/>
    <w:rsid w:val="004B30A5"/>
    <w:rsid w:val="004B569F"/>
    <w:rsid w:val="004B635C"/>
    <w:rsid w:val="004C2DFE"/>
    <w:rsid w:val="004D125C"/>
    <w:rsid w:val="004E25E1"/>
    <w:rsid w:val="004E3A45"/>
    <w:rsid w:val="00513A7E"/>
    <w:rsid w:val="005271DB"/>
    <w:rsid w:val="00554BE2"/>
    <w:rsid w:val="00561305"/>
    <w:rsid w:val="00563DBE"/>
    <w:rsid w:val="005676D2"/>
    <w:rsid w:val="00587DA3"/>
    <w:rsid w:val="005B3CFB"/>
    <w:rsid w:val="005D25F3"/>
    <w:rsid w:val="005E4747"/>
    <w:rsid w:val="00613866"/>
    <w:rsid w:val="00620EEB"/>
    <w:rsid w:val="00642203"/>
    <w:rsid w:val="00644607"/>
    <w:rsid w:val="0066073D"/>
    <w:rsid w:val="00673E0E"/>
    <w:rsid w:val="00675A3B"/>
    <w:rsid w:val="00684EF5"/>
    <w:rsid w:val="006C104B"/>
    <w:rsid w:val="006D153F"/>
    <w:rsid w:val="006F32DF"/>
    <w:rsid w:val="006F527D"/>
    <w:rsid w:val="006F52F6"/>
    <w:rsid w:val="00730354"/>
    <w:rsid w:val="007444B2"/>
    <w:rsid w:val="007615EC"/>
    <w:rsid w:val="00771005"/>
    <w:rsid w:val="0079690E"/>
    <w:rsid w:val="007A1BB9"/>
    <w:rsid w:val="007B2A05"/>
    <w:rsid w:val="007C445D"/>
    <w:rsid w:val="007D7793"/>
    <w:rsid w:val="007E7303"/>
    <w:rsid w:val="00806843"/>
    <w:rsid w:val="00806E23"/>
    <w:rsid w:val="0081179D"/>
    <w:rsid w:val="00814789"/>
    <w:rsid w:val="00817012"/>
    <w:rsid w:val="00822955"/>
    <w:rsid w:val="0082460B"/>
    <w:rsid w:val="008343F0"/>
    <w:rsid w:val="008411C9"/>
    <w:rsid w:val="00850EC4"/>
    <w:rsid w:val="00857D5B"/>
    <w:rsid w:val="0087194C"/>
    <w:rsid w:val="00874938"/>
    <w:rsid w:val="00883BC6"/>
    <w:rsid w:val="008A73E6"/>
    <w:rsid w:val="008B0777"/>
    <w:rsid w:val="008B2E8D"/>
    <w:rsid w:val="008F1DA4"/>
    <w:rsid w:val="009067F1"/>
    <w:rsid w:val="00934690"/>
    <w:rsid w:val="00935DC2"/>
    <w:rsid w:val="00945825"/>
    <w:rsid w:val="00946374"/>
    <w:rsid w:val="009778C6"/>
    <w:rsid w:val="009B1D46"/>
    <w:rsid w:val="009C1019"/>
    <w:rsid w:val="009F368D"/>
    <w:rsid w:val="00A2489C"/>
    <w:rsid w:val="00A3587E"/>
    <w:rsid w:val="00A572F1"/>
    <w:rsid w:val="00A745D3"/>
    <w:rsid w:val="00A8170C"/>
    <w:rsid w:val="00A9045E"/>
    <w:rsid w:val="00AB5C27"/>
    <w:rsid w:val="00AC61D9"/>
    <w:rsid w:val="00AE0CA5"/>
    <w:rsid w:val="00B01668"/>
    <w:rsid w:val="00B35598"/>
    <w:rsid w:val="00B43767"/>
    <w:rsid w:val="00B43905"/>
    <w:rsid w:val="00B526C9"/>
    <w:rsid w:val="00B6374E"/>
    <w:rsid w:val="00B74B97"/>
    <w:rsid w:val="00B8062D"/>
    <w:rsid w:val="00B854FB"/>
    <w:rsid w:val="00B921AB"/>
    <w:rsid w:val="00B95E39"/>
    <w:rsid w:val="00BC0EC9"/>
    <w:rsid w:val="00BE3A57"/>
    <w:rsid w:val="00BF7842"/>
    <w:rsid w:val="00BF7E5A"/>
    <w:rsid w:val="00C1449A"/>
    <w:rsid w:val="00C16BEF"/>
    <w:rsid w:val="00C36932"/>
    <w:rsid w:val="00C37D9A"/>
    <w:rsid w:val="00C41AB8"/>
    <w:rsid w:val="00C55297"/>
    <w:rsid w:val="00C73B07"/>
    <w:rsid w:val="00C806B7"/>
    <w:rsid w:val="00CA7AA0"/>
    <w:rsid w:val="00CC261F"/>
    <w:rsid w:val="00CE074A"/>
    <w:rsid w:val="00CE2E5E"/>
    <w:rsid w:val="00D11295"/>
    <w:rsid w:val="00D12699"/>
    <w:rsid w:val="00D212D2"/>
    <w:rsid w:val="00D378C9"/>
    <w:rsid w:val="00D40D6D"/>
    <w:rsid w:val="00D578A9"/>
    <w:rsid w:val="00D611D2"/>
    <w:rsid w:val="00D62C76"/>
    <w:rsid w:val="00D66E8D"/>
    <w:rsid w:val="00D724FE"/>
    <w:rsid w:val="00DB38F1"/>
    <w:rsid w:val="00DB4127"/>
    <w:rsid w:val="00DB4429"/>
    <w:rsid w:val="00DB6DB5"/>
    <w:rsid w:val="00DC2591"/>
    <w:rsid w:val="00DD157F"/>
    <w:rsid w:val="00DD652F"/>
    <w:rsid w:val="00E03432"/>
    <w:rsid w:val="00E06984"/>
    <w:rsid w:val="00E247EB"/>
    <w:rsid w:val="00E3212A"/>
    <w:rsid w:val="00E3711A"/>
    <w:rsid w:val="00E425D1"/>
    <w:rsid w:val="00E71381"/>
    <w:rsid w:val="00E938F1"/>
    <w:rsid w:val="00E943A2"/>
    <w:rsid w:val="00EA68AA"/>
    <w:rsid w:val="00ED5E57"/>
    <w:rsid w:val="00F11BA6"/>
    <w:rsid w:val="00F14E74"/>
    <w:rsid w:val="00F238DC"/>
    <w:rsid w:val="00F35B31"/>
    <w:rsid w:val="00F575FB"/>
    <w:rsid w:val="00F638C0"/>
    <w:rsid w:val="00F84527"/>
    <w:rsid w:val="00F9799C"/>
    <w:rsid w:val="00FA4011"/>
    <w:rsid w:val="00FB0AE2"/>
    <w:rsid w:val="00FB71BD"/>
    <w:rsid w:val="00FC2D0E"/>
    <w:rsid w:val="00FF0399"/>
    <w:rsid w:val="02715FC2"/>
    <w:rsid w:val="048521C2"/>
    <w:rsid w:val="05B05835"/>
    <w:rsid w:val="273B294F"/>
    <w:rsid w:val="29956FEB"/>
    <w:rsid w:val="3EFA1530"/>
    <w:rsid w:val="445A082B"/>
    <w:rsid w:val="44B81DB1"/>
    <w:rsid w:val="46A32D6E"/>
    <w:rsid w:val="4EB50DF1"/>
    <w:rsid w:val="5FEC0E5E"/>
    <w:rsid w:val="61317C6B"/>
    <w:rsid w:val="641E0922"/>
    <w:rsid w:val="65B4775B"/>
    <w:rsid w:val="7A32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C261F"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0">
    <w:name w:val="heading 1"/>
    <w:basedOn w:val="a"/>
    <w:next w:val="a"/>
    <w:link w:val="1Char"/>
    <w:qFormat/>
    <w:rsid w:val="00CC261F"/>
    <w:pPr>
      <w:keepNext/>
      <w:jc w:val="center"/>
      <w:outlineLvl w:val="0"/>
    </w:pPr>
    <w:rPr>
      <w:rFonts w:ascii="长城仿宋" w:eastAsia="长城仿宋" w:hAnsi="黑体" w:cs="黑体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C261F"/>
    <w:pPr>
      <w:ind w:firstLineChars="200" w:firstLine="420"/>
    </w:pPr>
    <w:rPr>
      <w:rFonts w:ascii="Calibri" w:hAnsi="Calibri"/>
      <w:szCs w:val="22"/>
    </w:rPr>
  </w:style>
  <w:style w:type="paragraph" w:styleId="a3">
    <w:name w:val="annotation text"/>
    <w:basedOn w:val="a"/>
    <w:link w:val="Char"/>
    <w:uiPriority w:val="99"/>
    <w:semiHidden/>
    <w:unhideWhenUsed/>
    <w:qFormat/>
    <w:rsid w:val="00CC261F"/>
    <w:pPr>
      <w:jc w:val="left"/>
    </w:pPr>
    <w:rPr>
      <w:sz w:val="21"/>
    </w:rPr>
  </w:style>
  <w:style w:type="paragraph" w:styleId="a4">
    <w:name w:val="Body Text"/>
    <w:basedOn w:val="a"/>
    <w:next w:val="a5"/>
    <w:link w:val="Char0"/>
    <w:qFormat/>
    <w:rsid w:val="00CC261F"/>
    <w:pPr>
      <w:spacing w:after="120"/>
    </w:pPr>
    <w:rPr>
      <w:rFonts w:ascii="黑体" w:hAnsi="黑体" w:cs="黑体"/>
      <w:sz w:val="21"/>
    </w:rPr>
  </w:style>
  <w:style w:type="paragraph" w:styleId="a5">
    <w:name w:val="Body Text First Indent"/>
    <w:basedOn w:val="a4"/>
    <w:link w:val="Char1"/>
    <w:uiPriority w:val="99"/>
    <w:semiHidden/>
    <w:unhideWhenUsed/>
    <w:qFormat/>
    <w:rsid w:val="00CC261F"/>
    <w:pPr>
      <w:ind w:firstLineChars="100" w:firstLine="420"/>
    </w:pPr>
    <w:rPr>
      <w:rFonts w:ascii="Times New Roman" w:hAnsi="Times New Roman" w:cs="Times New Roman"/>
      <w:sz w:val="28"/>
    </w:rPr>
  </w:style>
  <w:style w:type="paragraph" w:styleId="a6">
    <w:name w:val="Body Text Indent"/>
    <w:basedOn w:val="a"/>
    <w:link w:val="Char2"/>
    <w:uiPriority w:val="99"/>
    <w:semiHidden/>
    <w:unhideWhenUsed/>
    <w:qFormat/>
    <w:rsid w:val="00CC261F"/>
    <w:pPr>
      <w:spacing w:after="120"/>
      <w:ind w:leftChars="200" w:left="420"/>
    </w:pPr>
  </w:style>
  <w:style w:type="paragraph" w:styleId="a7">
    <w:name w:val="Plain Text"/>
    <w:basedOn w:val="a"/>
    <w:link w:val="Char3"/>
    <w:qFormat/>
    <w:rsid w:val="00CC261F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Wingdings" w:eastAsia="Wingdings" w:hAnsi="长城仿宋" w:cs="黑体"/>
      <w:kern w:val="0"/>
      <w:sz w:val="21"/>
      <w:szCs w:val="21"/>
    </w:rPr>
  </w:style>
  <w:style w:type="paragraph" w:styleId="a8">
    <w:name w:val="Date"/>
    <w:basedOn w:val="a"/>
    <w:next w:val="a"/>
    <w:link w:val="Char4"/>
    <w:uiPriority w:val="99"/>
    <w:semiHidden/>
    <w:unhideWhenUsed/>
    <w:qFormat/>
    <w:rsid w:val="00CC261F"/>
    <w:pPr>
      <w:ind w:leftChars="2500" w:left="100"/>
    </w:pPr>
  </w:style>
  <w:style w:type="paragraph" w:styleId="a9">
    <w:name w:val="footer"/>
    <w:basedOn w:val="a"/>
    <w:link w:val="Char5"/>
    <w:uiPriority w:val="99"/>
    <w:unhideWhenUsed/>
    <w:qFormat/>
    <w:rsid w:val="00CC2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uiPriority w:val="99"/>
    <w:unhideWhenUsed/>
    <w:rsid w:val="00CC2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rsid w:val="00CC261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0"/>
    <w:qFormat/>
    <w:rsid w:val="00CC261F"/>
    <w:rPr>
      <w:rFonts w:ascii="长城仿宋" w:eastAsia="长城仿宋" w:hAnsi="黑体" w:cs="黑体"/>
      <w:b/>
      <w:bCs/>
      <w:szCs w:val="24"/>
    </w:rPr>
  </w:style>
  <w:style w:type="character" w:customStyle="1" w:styleId="Char3">
    <w:name w:val="纯文本 Char"/>
    <w:basedOn w:val="a0"/>
    <w:link w:val="a7"/>
    <w:qFormat/>
    <w:rsid w:val="00CC261F"/>
    <w:rPr>
      <w:rFonts w:ascii="Wingdings" w:eastAsia="Wingdings" w:hAnsi="长城仿宋" w:cs="黑体"/>
      <w:kern w:val="0"/>
      <w:szCs w:val="21"/>
    </w:rPr>
  </w:style>
  <w:style w:type="character" w:customStyle="1" w:styleId="Char0">
    <w:name w:val="正文文本 Char"/>
    <w:basedOn w:val="a0"/>
    <w:link w:val="a4"/>
    <w:rsid w:val="00CC261F"/>
    <w:rPr>
      <w:rFonts w:ascii="黑体" w:eastAsia="宋体" w:hAnsi="黑体" w:cs="黑体"/>
      <w:szCs w:val="24"/>
    </w:rPr>
  </w:style>
  <w:style w:type="character" w:customStyle="1" w:styleId="Char1">
    <w:name w:val="正文首行缩进 Char"/>
    <w:basedOn w:val="Char0"/>
    <w:link w:val="a5"/>
    <w:uiPriority w:val="99"/>
    <w:semiHidden/>
    <w:qFormat/>
    <w:rsid w:val="00CC261F"/>
    <w:rPr>
      <w:rFonts w:ascii="黑体" w:eastAsia="宋体" w:hAnsi="黑体" w:cs="黑体"/>
      <w:szCs w:val="24"/>
    </w:rPr>
  </w:style>
  <w:style w:type="paragraph" w:styleId="ac">
    <w:name w:val="List Paragraph"/>
    <w:basedOn w:val="a"/>
    <w:uiPriority w:val="34"/>
    <w:qFormat/>
    <w:rsid w:val="00CC261F"/>
    <w:pPr>
      <w:ind w:firstLineChars="200" w:firstLine="420"/>
    </w:pPr>
  </w:style>
  <w:style w:type="character" w:customStyle="1" w:styleId="Char6">
    <w:name w:val="页眉 Char"/>
    <w:basedOn w:val="a0"/>
    <w:link w:val="aa"/>
    <w:uiPriority w:val="99"/>
    <w:rsid w:val="00CC261F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sid w:val="00CC261F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正文文本缩进 Char"/>
    <w:basedOn w:val="a0"/>
    <w:link w:val="a6"/>
    <w:uiPriority w:val="99"/>
    <w:semiHidden/>
    <w:rsid w:val="00CC261F"/>
    <w:rPr>
      <w:rFonts w:ascii="Times New Roman" w:eastAsia="宋体" w:hAnsi="Times New Roman" w:cs="Times New Roman"/>
      <w:sz w:val="28"/>
      <w:szCs w:val="24"/>
    </w:rPr>
  </w:style>
  <w:style w:type="character" w:customStyle="1" w:styleId="Char4">
    <w:name w:val="日期 Char"/>
    <w:basedOn w:val="a0"/>
    <w:link w:val="a8"/>
    <w:uiPriority w:val="99"/>
    <w:semiHidden/>
    <w:rsid w:val="00CC261F"/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CC261F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CC261F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CC261F"/>
    <w:rPr>
      <w:sz w:val="21"/>
      <w:szCs w:val="21"/>
    </w:rPr>
  </w:style>
  <w:style w:type="paragraph" w:styleId="ae">
    <w:name w:val="Balloon Text"/>
    <w:basedOn w:val="a"/>
    <w:link w:val="Char7"/>
    <w:uiPriority w:val="99"/>
    <w:semiHidden/>
    <w:unhideWhenUsed/>
    <w:rsid w:val="005676D2"/>
    <w:rPr>
      <w:sz w:val="18"/>
      <w:szCs w:val="18"/>
    </w:rPr>
  </w:style>
  <w:style w:type="character" w:customStyle="1" w:styleId="Char7">
    <w:name w:val="批注框文本 Char"/>
    <w:basedOn w:val="a0"/>
    <w:link w:val="ae"/>
    <w:uiPriority w:val="99"/>
    <w:semiHidden/>
    <w:rsid w:val="005676D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E2CBC1-1836-4682-8D0F-697EE1FF8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499</Words>
  <Characters>2848</Characters>
  <Application>Microsoft Office Word</Application>
  <DocSecurity>0</DocSecurity>
  <Lines>23</Lines>
  <Paragraphs>6</Paragraphs>
  <ScaleCrop>false</ScaleCrop>
  <Company>ICOS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iCura</dc:creator>
  <cp:lastModifiedBy>Sky123.Org</cp:lastModifiedBy>
  <cp:revision>10</cp:revision>
  <dcterms:created xsi:type="dcterms:W3CDTF">2021-09-30T02:04:00Z</dcterms:created>
  <dcterms:modified xsi:type="dcterms:W3CDTF">2021-10-09T01:30:00Z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1162978746E04D9FA4871CAE5AC46B87</vt:lpwstr>
  </property>
</Properties>
</file>