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color w:val="auto"/>
          <w:spacing w:val="-30"/>
          <w:sz w:val="36"/>
          <w:szCs w:val="36"/>
        </w:rPr>
      </w:pPr>
      <w:bookmarkStart w:id="0" w:name="_GoBack"/>
      <w:r>
        <w:rPr>
          <w:rFonts w:hint="eastAsia" w:asciiTheme="majorEastAsia" w:hAnsiTheme="majorEastAsia" w:eastAsiaTheme="majorEastAsia"/>
          <w:b/>
          <w:color w:val="auto"/>
          <w:spacing w:val="-30"/>
          <w:sz w:val="36"/>
          <w:szCs w:val="36"/>
        </w:rPr>
        <w:t>湖州师范学院教师教育实训中心走廊文化建设采购项目</w:t>
      </w:r>
    </w:p>
    <w:p>
      <w:pPr>
        <w:jc w:val="center"/>
        <w:rPr>
          <w:rFonts w:asciiTheme="majorEastAsia" w:hAnsiTheme="majorEastAsia" w:eastAsiaTheme="majorEastAsia"/>
          <w:b/>
          <w:color w:val="auto"/>
          <w:sz w:val="36"/>
          <w:szCs w:val="36"/>
        </w:rPr>
      </w:pPr>
      <w:r>
        <w:rPr>
          <w:rFonts w:hint="eastAsia" w:asciiTheme="majorEastAsia" w:hAnsiTheme="majorEastAsia" w:eastAsiaTheme="majorEastAsia"/>
          <w:b/>
          <w:color w:val="auto"/>
          <w:sz w:val="36"/>
          <w:szCs w:val="36"/>
        </w:rPr>
        <w:t>采购文件</w:t>
      </w:r>
    </w:p>
    <w:p>
      <w:pPr>
        <w:ind w:firstLine="472" w:firstLineChars="196"/>
        <w:jc w:val="left"/>
        <w:rPr>
          <w:rFonts w:ascii="仿宋" w:hAnsi="仿宋" w:eastAsia="仿宋" w:cs="Times New Roman"/>
          <w:b/>
          <w:color w:val="auto"/>
          <w:sz w:val="24"/>
          <w:szCs w:val="24"/>
        </w:rPr>
      </w:pPr>
      <w:r>
        <w:rPr>
          <w:rFonts w:hint="eastAsia" w:ascii="仿宋" w:hAnsi="仿宋" w:eastAsia="仿宋" w:cs="Times New Roman"/>
          <w:b/>
          <w:color w:val="auto"/>
          <w:sz w:val="24"/>
          <w:szCs w:val="24"/>
        </w:rPr>
        <w:t>一、采购项目名称及货物清单及要求：</w:t>
      </w:r>
    </w:p>
    <w:p>
      <w:pPr>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rPr>
        <w:t>1.项目名称：</w:t>
      </w:r>
      <w:r>
        <w:rPr>
          <w:rFonts w:hint="eastAsia" w:ascii="仿宋" w:hAnsi="仿宋" w:eastAsia="仿宋"/>
          <w:color w:val="auto"/>
          <w:sz w:val="24"/>
          <w:szCs w:val="24"/>
        </w:rPr>
        <w:t>湖州师范学院教师教育实训中心走廊文化建设采购项目</w:t>
      </w:r>
    </w:p>
    <w:p>
      <w:pPr>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rPr>
        <w:t>2.采购项目编号：</w:t>
      </w:r>
      <w:r>
        <w:rPr>
          <w:rFonts w:hint="eastAsia" w:ascii="仿宋" w:hAnsi="仿宋" w:eastAsia="仿宋"/>
          <w:color w:val="auto"/>
          <w:sz w:val="24"/>
          <w:szCs w:val="24"/>
        </w:rPr>
        <w:t>XZ2020-145</w:t>
      </w:r>
    </w:p>
    <w:p>
      <w:pPr>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rPr>
        <w:t>3.采购组织类型：分散采购自行组织</w:t>
      </w:r>
    </w:p>
    <w:p>
      <w:pPr>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rPr>
        <w:t>4.采购方式：校内</w:t>
      </w:r>
      <w:r>
        <w:rPr>
          <w:rFonts w:hint="eastAsia" w:ascii="仿宋" w:hAnsi="仿宋" w:eastAsia="仿宋"/>
          <w:color w:val="auto"/>
          <w:sz w:val="24"/>
          <w:szCs w:val="24"/>
        </w:rPr>
        <w:t>询价</w:t>
      </w:r>
    </w:p>
    <w:p>
      <w:pPr>
        <w:ind w:firstLine="480" w:firstLineChars="200"/>
        <w:rPr>
          <w:rFonts w:ascii="仿宋" w:hAnsi="仿宋" w:eastAsia="仿宋"/>
          <w:color w:val="auto"/>
          <w:sz w:val="24"/>
        </w:rPr>
      </w:pPr>
      <w:r>
        <w:rPr>
          <w:rFonts w:hint="eastAsia" w:ascii="仿宋" w:hAnsi="仿宋" w:eastAsia="仿宋" w:cs="Times New Roman"/>
          <w:color w:val="auto"/>
          <w:sz w:val="24"/>
          <w:szCs w:val="24"/>
        </w:rPr>
        <w:t>5.采购预算：</w:t>
      </w:r>
      <w:r>
        <w:rPr>
          <w:rFonts w:hint="eastAsia" w:ascii="仿宋" w:hAnsi="仿宋" w:eastAsia="仿宋"/>
          <w:color w:val="auto"/>
          <w:sz w:val="24"/>
        </w:rPr>
        <w:t>人民币捌万柒仟伍佰捌拾壹元整（￥87581.00元）</w:t>
      </w:r>
    </w:p>
    <w:p>
      <w:pPr>
        <w:ind w:firstLine="480" w:firstLineChars="200"/>
        <w:jc w:val="left"/>
        <w:rPr>
          <w:rFonts w:ascii="仿宋" w:hAnsi="仿宋" w:eastAsia="仿宋"/>
          <w:color w:val="auto"/>
          <w:sz w:val="24"/>
        </w:rPr>
      </w:pPr>
      <w:r>
        <w:rPr>
          <w:rFonts w:hint="eastAsia" w:ascii="仿宋" w:hAnsi="仿宋" w:eastAsia="仿宋" w:cs="Times New Roman"/>
          <w:color w:val="auto"/>
          <w:sz w:val="24"/>
          <w:szCs w:val="24"/>
        </w:rPr>
        <w:t>6.采购需求及</w:t>
      </w:r>
      <w:r>
        <w:rPr>
          <w:rFonts w:hint="eastAsia" w:ascii="仿宋" w:hAnsi="仿宋" w:eastAsia="仿宋"/>
          <w:color w:val="auto"/>
          <w:sz w:val="24"/>
        </w:rPr>
        <w:t>采购清单：</w:t>
      </w:r>
    </w:p>
    <w:tbl>
      <w:tblPr>
        <w:tblStyle w:val="9"/>
        <w:tblW w:w="10350" w:type="dxa"/>
        <w:jc w:val="center"/>
        <w:tblLayout w:type="fixed"/>
        <w:tblCellMar>
          <w:top w:w="0" w:type="dxa"/>
          <w:left w:w="0" w:type="dxa"/>
          <w:bottom w:w="0" w:type="dxa"/>
          <w:right w:w="0" w:type="dxa"/>
        </w:tblCellMar>
      </w:tblPr>
      <w:tblGrid>
        <w:gridCol w:w="733"/>
        <w:gridCol w:w="2884"/>
        <w:gridCol w:w="800"/>
        <w:gridCol w:w="850"/>
        <w:gridCol w:w="633"/>
        <w:gridCol w:w="650"/>
        <w:gridCol w:w="629"/>
        <w:gridCol w:w="3171"/>
      </w:tblGrid>
      <w:tr>
        <w:tblPrEx>
          <w:tblCellMar>
            <w:top w:w="0" w:type="dxa"/>
            <w:left w:w="0" w:type="dxa"/>
            <w:bottom w:w="0" w:type="dxa"/>
            <w:right w:w="0" w:type="dxa"/>
          </w:tblCellMar>
        </w:tblPrEx>
        <w:trPr>
          <w:trHeight w:val="460" w:hRule="atLeast"/>
          <w:jc w:val="center"/>
        </w:trPr>
        <w:tc>
          <w:tcPr>
            <w:tcW w:w="10350" w:type="dxa"/>
            <w:gridSpan w:val="8"/>
            <w:tcBorders>
              <w:top w:val="nil"/>
              <w:left w:val="nil"/>
              <w:bottom w:val="nil"/>
              <w:right w:val="nil"/>
            </w:tcBorders>
            <w:shd w:val="clear" w:color="auto" w:fill="E7E6E6"/>
            <w:noWrap/>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一楼</w:t>
            </w:r>
          </w:p>
        </w:tc>
      </w:tr>
      <w:tr>
        <w:tblPrEx>
          <w:tblCellMar>
            <w:top w:w="0" w:type="dxa"/>
            <w:left w:w="0" w:type="dxa"/>
            <w:bottom w:w="0" w:type="dxa"/>
            <w:right w:w="0" w:type="dxa"/>
          </w:tblCellMar>
        </w:tblPrEx>
        <w:trPr>
          <w:trHeight w:val="440" w:hRule="atLeast"/>
          <w:jc w:val="center"/>
        </w:trPr>
        <w:tc>
          <w:tcPr>
            <w:tcW w:w="733" w:type="dxa"/>
            <w:vMerge w:val="restart"/>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序号</w:t>
            </w:r>
          </w:p>
        </w:tc>
        <w:tc>
          <w:tcPr>
            <w:tcW w:w="2884" w:type="dxa"/>
            <w:vMerge w:val="restart"/>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项目名称</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规格(m)</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数量</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面积</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单位</w:t>
            </w:r>
          </w:p>
        </w:tc>
        <w:tc>
          <w:tcPr>
            <w:tcW w:w="3171" w:type="dxa"/>
            <w:vMerge w:val="restart"/>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备注</w:t>
            </w:r>
          </w:p>
        </w:tc>
      </w:tr>
      <w:tr>
        <w:tblPrEx>
          <w:tblCellMar>
            <w:top w:w="0" w:type="dxa"/>
            <w:left w:w="0" w:type="dxa"/>
            <w:bottom w:w="0" w:type="dxa"/>
            <w:right w:w="0" w:type="dxa"/>
          </w:tblCellMar>
        </w:tblPrEx>
        <w:trPr>
          <w:trHeight w:val="440"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jc w:val="center"/>
              <w:rPr>
                <w:rFonts w:ascii="仿宋" w:hAnsi="仿宋" w:eastAsia="仿宋" w:cs="仿宋"/>
                <w:b/>
                <w:color w:val="auto"/>
                <w:szCs w:val="21"/>
              </w:rPr>
            </w:pPr>
          </w:p>
        </w:tc>
        <w:tc>
          <w:tcPr>
            <w:tcW w:w="2884" w:type="dxa"/>
            <w:vMerge w:val="continue"/>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jc w:val="center"/>
              <w:rPr>
                <w:rFonts w:ascii="仿宋" w:hAnsi="仿宋" w:eastAsia="仿宋" w:cs="仿宋"/>
                <w:b/>
                <w:color w:val="auto"/>
                <w:szCs w:val="21"/>
              </w:rPr>
            </w:pPr>
          </w:p>
        </w:tc>
        <w:tc>
          <w:tcPr>
            <w:tcW w:w="800"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长</w:t>
            </w:r>
          </w:p>
        </w:tc>
        <w:tc>
          <w:tcPr>
            <w:tcW w:w="850"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宽</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jc w:val="center"/>
              <w:rPr>
                <w:rFonts w:ascii="仿宋" w:hAnsi="仿宋" w:eastAsia="仿宋" w:cs="仿宋"/>
                <w:b/>
                <w:color w:val="auto"/>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jc w:val="center"/>
              <w:rPr>
                <w:rFonts w:ascii="仿宋" w:hAnsi="仿宋" w:eastAsia="仿宋" w:cs="仿宋"/>
                <w:b/>
                <w:color w:val="auto"/>
                <w:szCs w:val="21"/>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jc w:val="center"/>
              <w:rPr>
                <w:rFonts w:ascii="仿宋" w:hAnsi="仿宋" w:eastAsia="仿宋" w:cs="仿宋"/>
                <w:b/>
                <w:color w:val="auto"/>
                <w:szCs w:val="21"/>
              </w:rPr>
            </w:pPr>
          </w:p>
        </w:tc>
        <w:tc>
          <w:tcPr>
            <w:tcW w:w="3171" w:type="dxa"/>
            <w:vMerge w:val="continue"/>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jc w:val="center"/>
              <w:rPr>
                <w:rFonts w:ascii="仿宋" w:hAnsi="仿宋" w:eastAsia="仿宋" w:cs="仿宋"/>
                <w:b/>
                <w:color w:val="auto"/>
                <w:szCs w:val="21"/>
              </w:rPr>
            </w:pPr>
          </w:p>
        </w:tc>
      </w:tr>
      <w:tr>
        <w:tblPrEx>
          <w:tblCellMar>
            <w:top w:w="0" w:type="dxa"/>
            <w:left w:w="0" w:type="dxa"/>
            <w:bottom w:w="0" w:type="dxa"/>
            <w:right w:w="0" w:type="dxa"/>
          </w:tblCellMar>
        </w:tblPrEx>
        <w:trPr>
          <w:trHeight w:val="440" w:hRule="atLeast"/>
          <w:jc w:val="center"/>
        </w:trPr>
        <w:tc>
          <w:tcPr>
            <w:tcW w:w="7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w:t>
            </w:r>
          </w:p>
        </w:tc>
        <w:tc>
          <w:tcPr>
            <w:tcW w:w="28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户外教师教育实训中心金属字</w:t>
            </w:r>
          </w:p>
        </w:tc>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1.25</w:t>
            </w:r>
          </w:p>
        </w:tc>
        <w:tc>
          <w:tcPr>
            <w:tcW w:w="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1.25</w:t>
            </w:r>
          </w:p>
        </w:tc>
        <w:tc>
          <w:tcPr>
            <w:tcW w:w="6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8</w:t>
            </w:r>
          </w:p>
        </w:tc>
        <w:tc>
          <w:tcPr>
            <w:tcW w:w="6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个</w:t>
            </w:r>
          </w:p>
        </w:tc>
        <w:tc>
          <w:tcPr>
            <w:tcW w:w="31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钛金字</w:t>
            </w: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习近平四有老师</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0.6</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40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个</w:t>
            </w:r>
          </w:p>
        </w:tc>
        <w:tc>
          <w:tcPr>
            <w:tcW w:w="3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金色拉丝金属面+6.5mm透明亚克力</w:t>
            </w: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学校精神印章</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0.62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0.62</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块</w:t>
            </w:r>
          </w:p>
        </w:tc>
        <w:tc>
          <w:tcPr>
            <w:tcW w:w="31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4MM亚克力背印UV+10mmPVC板</w:t>
            </w: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4</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校训印章</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0.97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0.97</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块</w:t>
            </w:r>
          </w:p>
        </w:tc>
        <w:tc>
          <w:tcPr>
            <w:tcW w:w="3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Cs w:val="21"/>
              </w:rPr>
            </w:pP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5</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胡瑗雕塑、校训石介绍展板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1.2</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块</w:t>
            </w:r>
          </w:p>
        </w:tc>
        <w:tc>
          <w:tcPr>
            <w:tcW w:w="3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开启式画框+灯光片</w:t>
            </w:r>
          </w:p>
        </w:tc>
      </w:tr>
      <w:tr>
        <w:tblPrEx>
          <w:tblCellMar>
            <w:top w:w="0" w:type="dxa"/>
            <w:left w:w="0" w:type="dxa"/>
            <w:bottom w:w="0" w:type="dxa"/>
            <w:right w:w="0" w:type="dxa"/>
          </w:tblCellMar>
        </w:tblPrEx>
        <w:trPr>
          <w:trHeight w:val="440" w:hRule="atLeast"/>
          <w:jc w:val="center"/>
        </w:trPr>
        <w:tc>
          <w:tcPr>
            <w:tcW w:w="10350" w:type="dxa"/>
            <w:gridSpan w:val="8"/>
            <w:tcBorders>
              <w:top w:val="single" w:color="000000" w:sz="4" w:space="0"/>
              <w:left w:val="single" w:color="000000" w:sz="4" w:space="0"/>
              <w:bottom w:val="single" w:color="000000" w:sz="4" w:space="0"/>
              <w:right w:val="single" w:color="000000" w:sz="4" w:space="0"/>
            </w:tcBorders>
            <w:shd w:val="clear" w:color="auto" w:fill="E7E6E6"/>
            <w:noWrap/>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四楼</w:t>
            </w: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6</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创客标题</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0.55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0.45</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个</w:t>
            </w:r>
          </w:p>
        </w:tc>
        <w:tc>
          <w:tcPr>
            <w:tcW w:w="3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金属背发光字</w:t>
            </w: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7</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教师文字装饰墙水晶字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7.4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1.22</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套</w:t>
            </w:r>
          </w:p>
        </w:tc>
        <w:tc>
          <w:tcPr>
            <w:tcW w:w="3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双色板+4.5mm透明亚克力</w:t>
            </w: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8</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教学场景画框</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0.6</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副</w:t>
            </w:r>
          </w:p>
        </w:tc>
        <w:tc>
          <w:tcPr>
            <w:tcW w:w="3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开启式画框+灯光片</w:t>
            </w: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9</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《学记》语录木雕牌</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1.4</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19</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块</w:t>
            </w:r>
          </w:p>
        </w:tc>
        <w:tc>
          <w:tcPr>
            <w:tcW w:w="3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木雕+麻绳</w:t>
            </w: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10</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胡瑗及胡瑗教学思想板块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11.6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1.2</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13.92</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平方</w:t>
            </w:r>
          </w:p>
        </w:tc>
        <w:tc>
          <w:tcPr>
            <w:tcW w:w="3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PVC板+水晶字+UV彩印</w:t>
            </w: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11</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考场纪律板块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4.9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1.6</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7.84</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平方</w:t>
            </w:r>
          </w:p>
        </w:tc>
        <w:tc>
          <w:tcPr>
            <w:tcW w:w="3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PVC板+水晶字+UV彩印</w:t>
            </w: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12</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索引墙水晶字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套</w:t>
            </w:r>
          </w:p>
        </w:tc>
        <w:tc>
          <w:tcPr>
            <w:tcW w:w="3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亚克力水晶字</w:t>
            </w: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13</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教师教育实训中心简介墙面</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1.4</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5.04</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平方</w:t>
            </w:r>
          </w:p>
        </w:tc>
        <w:tc>
          <w:tcPr>
            <w:tcW w:w="3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PVC板+水晶字+UV彩印</w:t>
            </w: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14</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steam实物介绍展板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0.9</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6</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块</w:t>
            </w:r>
          </w:p>
        </w:tc>
        <w:tc>
          <w:tcPr>
            <w:tcW w:w="3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画框+灯光片</w:t>
            </w: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15</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教室门口展板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0.7</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块</w:t>
            </w:r>
          </w:p>
        </w:tc>
        <w:tc>
          <w:tcPr>
            <w:tcW w:w="3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画框+灯光片</w:t>
            </w:r>
          </w:p>
        </w:tc>
      </w:tr>
      <w:tr>
        <w:tblPrEx>
          <w:tblCellMar>
            <w:top w:w="0" w:type="dxa"/>
            <w:left w:w="0" w:type="dxa"/>
            <w:bottom w:w="0" w:type="dxa"/>
            <w:right w:w="0" w:type="dxa"/>
          </w:tblCellMar>
        </w:tblPrEx>
        <w:trPr>
          <w:trHeight w:val="440" w:hRule="atLeast"/>
          <w:jc w:val="center"/>
        </w:trPr>
        <w:tc>
          <w:tcPr>
            <w:tcW w:w="10350" w:type="dxa"/>
            <w:gridSpan w:val="8"/>
            <w:tcBorders>
              <w:top w:val="single" w:color="000000" w:sz="4" w:space="0"/>
              <w:left w:val="single" w:color="000000" w:sz="4" w:space="0"/>
              <w:bottom w:val="single" w:color="000000" w:sz="4" w:space="0"/>
              <w:right w:val="single" w:color="000000" w:sz="4" w:space="0"/>
            </w:tcBorders>
            <w:shd w:val="clear" w:color="auto" w:fill="E7E6E6"/>
            <w:noWrap/>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五楼</w:t>
            </w: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16</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索引墙（电梯旁）水晶字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1.7</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套</w:t>
            </w:r>
          </w:p>
        </w:tc>
        <w:tc>
          <w:tcPr>
            <w:tcW w:w="3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Cs w:val="21"/>
              </w:rPr>
            </w:pP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17</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教师照片灯箱</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1.5</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6</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平方</w:t>
            </w:r>
          </w:p>
        </w:tc>
        <w:tc>
          <w:tcPr>
            <w:tcW w:w="3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led软膜灯箱</w:t>
            </w: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18</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名人名言墙面</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5.78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1.24</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7.16</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平方</w:t>
            </w:r>
          </w:p>
        </w:tc>
        <w:tc>
          <w:tcPr>
            <w:tcW w:w="3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亚克力+PVC板+UV彩印</w:t>
            </w: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19</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百年历程墙面</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6.3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2.3</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14.5</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平方</w:t>
            </w:r>
          </w:p>
        </w:tc>
        <w:tc>
          <w:tcPr>
            <w:tcW w:w="3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亚克力+PVC板+UV彩印</w:t>
            </w: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20</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浙江师范教育发展长廊</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1.2</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30</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平方</w:t>
            </w:r>
          </w:p>
        </w:tc>
        <w:tc>
          <w:tcPr>
            <w:tcW w:w="3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亚克力+PVC板+UV彩印</w:t>
            </w: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21</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中外师范教育发展长廊</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1.2</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36</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平方</w:t>
            </w:r>
          </w:p>
        </w:tc>
        <w:tc>
          <w:tcPr>
            <w:tcW w:w="3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亚克力+PVC板+UV彩印</w:t>
            </w: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22</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名人馆教育名家水晶字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0.44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1.2</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套</w:t>
            </w:r>
          </w:p>
        </w:tc>
        <w:tc>
          <w:tcPr>
            <w:tcW w:w="3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亚克力字</w:t>
            </w: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23</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教育名家展板框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0.45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1.2</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12</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块</w:t>
            </w:r>
          </w:p>
        </w:tc>
        <w:tc>
          <w:tcPr>
            <w:tcW w:w="3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画框+画面</w:t>
            </w: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24</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教师名家展板架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120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200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套</w:t>
            </w:r>
          </w:p>
        </w:tc>
        <w:tc>
          <w:tcPr>
            <w:tcW w:w="3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八棱柱画架  中间画面120x200cm 双面</w:t>
            </w: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25</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数字微格实验室简介墙面</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1.4</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5.04</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平方</w:t>
            </w:r>
          </w:p>
        </w:tc>
        <w:tc>
          <w:tcPr>
            <w:tcW w:w="3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PVC板+水晶字</w:t>
            </w: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26</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教室门口展板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0.7</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6</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块</w:t>
            </w:r>
          </w:p>
        </w:tc>
        <w:tc>
          <w:tcPr>
            <w:tcW w:w="3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画框+灯光片</w:t>
            </w: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27</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索引墙水晶字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套</w:t>
            </w:r>
          </w:p>
        </w:tc>
        <w:tc>
          <w:tcPr>
            <w:tcW w:w="3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亚克力水晶字</w:t>
            </w: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28</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教师教育实训中心LOGO水晶字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0.35</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7</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套</w:t>
            </w:r>
          </w:p>
        </w:tc>
        <w:tc>
          <w:tcPr>
            <w:tcW w:w="3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金色拉丝金属面+6.5mm透明亚克力(1楼1套 4、5、6楼各2套)</w:t>
            </w: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29</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楼梯口导视牌</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0.8</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6</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套</w:t>
            </w:r>
          </w:p>
        </w:tc>
        <w:tc>
          <w:tcPr>
            <w:tcW w:w="3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6.5mm亚克力背印UV彩印（1楼、4-8楼各一套）</w:t>
            </w:r>
          </w:p>
        </w:tc>
      </w:tr>
      <w:tr>
        <w:tblPrEx>
          <w:tblCellMar>
            <w:top w:w="0" w:type="dxa"/>
            <w:left w:w="0" w:type="dxa"/>
            <w:bottom w:w="0" w:type="dxa"/>
            <w:right w:w="0" w:type="dxa"/>
          </w:tblCellMar>
        </w:tblPrEx>
        <w:trPr>
          <w:trHeight w:val="440" w:hRule="atLeast"/>
          <w:jc w:val="center"/>
        </w:trPr>
        <w:tc>
          <w:tcPr>
            <w:tcW w:w="10350" w:type="dxa"/>
            <w:gridSpan w:val="8"/>
            <w:tcBorders>
              <w:top w:val="single" w:color="000000" w:sz="4" w:space="0"/>
              <w:left w:val="single" w:color="000000" w:sz="4" w:space="0"/>
              <w:bottom w:val="single" w:color="000000" w:sz="4" w:space="0"/>
              <w:right w:val="single" w:color="000000" w:sz="4" w:space="0"/>
            </w:tcBorders>
            <w:shd w:val="clear" w:color="auto" w:fill="E7E6E6"/>
            <w:noWrap/>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六楼</w:t>
            </w: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30</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超星尔雅通识课平台及应用介绍展板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0.9</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块</w:t>
            </w:r>
          </w:p>
        </w:tc>
        <w:tc>
          <w:tcPr>
            <w:tcW w:w="3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开启式画框+灯光片</w:t>
            </w: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31</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仿宋"/>
                <w:color w:val="auto"/>
                <w:szCs w:val="21"/>
              </w:rPr>
            </w:pPr>
            <w:r>
              <w:rPr>
                <w:rFonts w:hint="eastAsia" w:ascii="仿宋" w:hAnsi="仿宋" w:eastAsia="仿宋" w:cs="仿宋"/>
                <w:color w:val="auto"/>
                <w:kern w:val="0"/>
                <w:szCs w:val="21"/>
                <w:lang w:bidi="ar"/>
              </w:rPr>
              <w:t>我校历年来“互联网+”大学生创新创业大赛获奖成果介绍</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0.9</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7</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块</w:t>
            </w:r>
          </w:p>
        </w:tc>
        <w:tc>
          <w:tcPr>
            <w:tcW w:w="3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开启式画框+灯光片</w:t>
            </w: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32</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仿宋"/>
                <w:color w:val="auto"/>
                <w:szCs w:val="21"/>
              </w:rPr>
            </w:pPr>
            <w:r>
              <w:rPr>
                <w:rFonts w:hint="eastAsia" w:ascii="仿宋" w:hAnsi="仿宋" w:eastAsia="仿宋" w:cs="仿宋"/>
                <w:color w:val="auto"/>
                <w:kern w:val="0"/>
                <w:szCs w:val="21"/>
                <w:lang w:bidi="ar"/>
              </w:rPr>
              <w:t>教师教育实训中心网络教学平台建设成果介绍</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0.9</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块</w:t>
            </w:r>
          </w:p>
        </w:tc>
        <w:tc>
          <w:tcPr>
            <w:tcW w:w="3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开启式画框+灯光片</w:t>
            </w: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33</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仿宋"/>
                <w:color w:val="auto"/>
                <w:szCs w:val="21"/>
              </w:rPr>
            </w:pPr>
            <w:r>
              <w:rPr>
                <w:rFonts w:hint="eastAsia" w:ascii="仿宋" w:hAnsi="仿宋" w:eastAsia="仿宋" w:cs="仿宋"/>
                <w:color w:val="auto"/>
                <w:kern w:val="0"/>
                <w:szCs w:val="21"/>
                <w:lang w:bidi="ar"/>
              </w:rPr>
              <w:t>2019我校获评浙江省本科院校“互联网+教学”优秀案例（线上线下混合课程）介绍</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0.9</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8</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块</w:t>
            </w:r>
          </w:p>
        </w:tc>
        <w:tc>
          <w:tcPr>
            <w:tcW w:w="3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开启式画框+灯光片</w:t>
            </w: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34</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教学技能考核教室门口展板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0.7</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块</w:t>
            </w:r>
          </w:p>
        </w:tc>
        <w:tc>
          <w:tcPr>
            <w:tcW w:w="3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画框+灯光片</w:t>
            </w:r>
          </w:p>
        </w:tc>
      </w:tr>
      <w:tr>
        <w:tblPrEx>
          <w:tblCellMar>
            <w:top w:w="0" w:type="dxa"/>
            <w:left w:w="0" w:type="dxa"/>
            <w:bottom w:w="0" w:type="dxa"/>
            <w:right w:w="0" w:type="dxa"/>
          </w:tblCellMar>
        </w:tblPrEx>
        <w:trPr>
          <w:trHeight w:val="440" w:hRule="atLeast"/>
          <w:jc w:val="center"/>
        </w:trPr>
        <w:tc>
          <w:tcPr>
            <w:tcW w:w="10350" w:type="dxa"/>
            <w:gridSpan w:val="8"/>
            <w:tcBorders>
              <w:top w:val="single" w:color="000000" w:sz="4" w:space="0"/>
              <w:left w:val="single" w:color="000000" w:sz="4" w:space="0"/>
              <w:bottom w:val="single" w:color="000000" w:sz="4" w:space="0"/>
              <w:right w:val="single" w:color="000000" w:sz="4" w:space="0"/>
            </w:tcBorders>
            <w:shd w:val="clear" w:color="auto" w:fill="E7E6E6"/>
            <w:noWrap/>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八楼</w:t>
            </w: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35</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教室门口展板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0.7</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块</w:t>
            </w:r>
          </w:p>
        </w:tc>
        <w:tc>
          <w:tcPr>
            <w:tcW w:w="3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开启式画框+灯光片</w:t>
            </w:r>
          </w:p>
        </w:tc>
      </w:tr>
      <w:tr>
        <w:tblPrEx>
          <w:tblCellMar>
            <w:top w:w="0" w:type="dxa"/>
            <w:left w:w="0" w:type="dxa"/>
            <w:bottom w:w="0" w:type="dxa"/>
            <w:right w:w="0" w:type="dxa"/>
          </w:tblCellMar>
        </w:tblPrEx>
        <w:trPr>
          <w:trHeight w:val="440" w:hRule="atLeast"/>
          <w:jc w:val="center"/>
        </w:trPr>
        <w:tc>
          <w:tcPr>
            <w:tcW w:w="10350" w:type="dxa"/>
            <w:gridSpan w:val="8"/>
            <w:tcBorders>
              <w:top w:val="single" w:color="000000" w:sz="4" w:space="0"/>
              <w:left w:val="single" w:color="000000" w:sz="4" w:space="0"/>
              <w:bottom w:val="single" w:color="000000" w:sz="4" w:space="0"/>
              <w:right w:val="single" w:color="000000" w:sz="4" w:space="0"/>
            </w:tcBorders>
            <w:shd w:val="clear" w:color="auto" w:fill="E7E6E6"/>
            <w:noWrap/>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楼梯井</w:t>
            </w: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36</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开启式挂画画框</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0.9</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60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块</w:t>
            </w:r>
          </w:p>
        </w:tc>
        <w:tc>
          <w:tcPr>
            <w:tcW w:w="3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开启式画框+灯光片</w:t>
            </w: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37</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君子之风展板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0.45</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13</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块</w:t>
            </w:r>
          </w:p>
        </w:tc>
        <w:tc>
          <w:tcPr>
            <w:tcW w:w="3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PVC+写真</w:t>
            </w:r>
          </w:p>
        </w:tc>
      </w:tr>
      <w:tr>
        <w:tblPrEx>
          <w:tblCellMar>
            <w:top w:w="0" w:type="dxa"/>
            <w:left w:w="0" w:type="dxa"/>
            <w:bottom w:w="0" w:type="dxa"/>
            <w:right w:w="0" w:type="dxa"/>
          </w:tblCellMar>
        </w:tblPrEx>
        <w:trPr>
          <w:trHeight w:val="4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38</w:t>
            </w:r>
          </w:p>
        </w:tc>
        <w:tc>
          <w:tcPr>
            <w:tcW w:w="2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写字黑板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0.45</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18</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块</w:t>
            </w:r>
          </w:p>
        </w:tc>
        <w:tc>
          <w:tcPr>
            <w:tcW w:w="3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胡桃框黑板</w:t>
            </w:r>
          </w:p>
        </w:tc>
      </w:tr>
    </w:tbl>
    <w:p>
      <w:pPr>
        <w:adjustRightInd w:val="0"/>
        <w:snapToGrid w:val="0"/>
        <w:ind w:firstLine="472" w:firstLineChars="196"/>
        <w:jc w:val="left"/>
        <w:rPr>
          <w:rFonts w:ascii="仿宋" w:hAnsi="仿宋" w:eastAsia="仿宋" w:cs="Times New Roman"/>
          <w:b/>
          <w:color w:val="auto"/>
          <w:sz w:val="24"/>
          <w:szCs w:val="24"/>
        </w:rPr>
      </w:pPr>
      <w:r>
        <w:rPr>
          <w:rFonts w:hint="eastAsia" w:ascii="仿宋" w:hAnsi="仿宋" w:eastAsia="仿宋" w:cs="Times New Roman"/>
          <w:b/>
          <w:color w:val="auto"/>
          <w:sz w:val="24"/>
          <w:szCs w:val="24"/>
        </w:rPr>
        <w:t>注1：采购预算为最高限价，投标人报价超出采购预算为无效报价。</w:t>
      </w:r>
    </w:p>
    <w:p>
      <w:pPr>
        <w:ind w:firstLine="482" w:firstLineChars="200"/>
        <w:rPr>
          <w:rFonts w:ascii="仿宋" w:hAnsi="仿宋" w:eastAsia="仿宋"/>
          <w:b/>
          <w:color w:val="auto"/>
          <w:sz w:val="24"/>
          <w:szCs w:val="24"/>
        </w:rPr>
      </w:pPr>
      <w:r>
        <w:rPr>
          <w:rFonts w:hint="eastAsia" w:ascii="仿宋" w:hAnsi="仿宋" w:eastAsia="仿宋" w:cs="Times New Roman"/>
          <w:b/>
          <w:color w:val="auto"/>
          <w:sz w:val="24"/>
          <w:szCs w:val="24"/>
        </w:rPr>
        <w:t>注2：</w:t>
      </w:r>
      <w:r>
        <w:rPr>
          <w:rFonts w:hint="eastAsia" w:ascii="仿宋" w:hAnsi="仿宋" w:eastAsia="仿宋"/>
          <w:b/>
          <w:color w:val="auto"/>
          <w:sz w:val="24"/>
          <w:szCs w:val="24"/>
        </w:rPr>
        <w:t>本项目采购预算合包含税金、装订材料、运输、加工、装卸、安装等一切费用。</w:t>
      </w:r>
    </w:p>
    <w:p>
      <w:pPr>
        <w:adjustRightInd w:val="0"/>
        <w:snapToGrid w:val="0"/>
        <w:ind w:firstLine="482" w:firstLineChars="200"/>
        <w:jc w:val="left"/>
        <w:rPr>
          <w:rFonts w:ascii="仿宋" w:hAnsi="仿宋" w:eastAsia="仿宋"/>
          <w:b/>
          <w:color w:val="auto"/>
          <w:sz w:val="24"/>
          <w:szCs w:val="24"/>
        </w:rPr>
      </w:pPr>
      <w:r>
        <w:rPr>
          <w:rFonts w:hint="eastAsia" w:ascii="仿宋" w:hAnsi="仿宋" w:eastAsia="仿宋"/>
          <w:b/>
          <w:color w:val="auto"/>
          <w:sz w:val="24"/>
          <w:szCs w:val="24"/>
        </w:rPr>
        <w:t>注3：如需项目安装施工的，相关工人必须按照国家相关规定持证上岗，如因无证上岗引起的安全事故由中标人承担全部法律责任。</w:t>
      </w:r>
    </w:p>
    <w:p>
      <w:pPr>
        <w:adjustRightInd w:val="0"/>
        <w:snapToGrid w:val="0"/>
        <w:ind w:firstLine="472" w:firstLineChars="196"/>
        <w:jc w:val="left"/>
        <w:rPr>
          <w:rFonts w:ascii="仿宋" w:hAnsi="仿宋" w:eastAsia="仿宋"/>
          <w:b/>
          <w:color w:val="auto"/>
          <w:sz w:val="24"/>
          <w:szCs w:val="24"/>
        </w:rPr>
      </w:pPr>
      <w:r>
        <w:rPr>
          <w:rFonts w:hint="eastAsia" w:ascii="仿宋" w:hAnsi="仿宋" w:eastAsia="仿宋"/>
          <w:b/>
          <w:color w:val="auto"/>
          <w:sz w:val="24"/>
          <w:szCs w:val="24"/>
        </w:rPr>
        <w:t>二、投标文件要求</w:t>
      </w:r>
    </w:p>
    <w:p>
      <w:pPr>
        <w:adjustRightInd w:val="0"/>
        <w:snapToGrid w:val="0"/>
        <w:ind w:firstLine="480" w:firstLineChars="200"/>
        <w:jc w:val="left"/>
        <w:rPr>
          <w:rFonts w:ascii="仿宋" w:hAnsi="仿宋" w:eastAsia="仿宋"/>
          <w:color w:val="auto"/>
          <w:sz w:val="24"/>
          <w:szCs w:val="24"/>
        </w:rPr>
      </w:pPr>
      <w:r>
        <w:rPr>
          <w:rFonts w:hint="eastAsia" w:ascii="仿宋" w:hAnsi="仿宋" w:eastAsia="仿宋"/>
          <w:color w:val="auto"/>
          <w:sz w:val="24"/>
          <w:szCs w:val="24"/>
        </w:rPr>
        <w:t>投标人的投标文件中应包含以下内容</w:t>
      </w:r>
      <w:r>
        <w:rPr>
          <w:rFonts w:hint="eastAsia" w:ascii="仿宋" w:hAnsi="仿宋" w:eastAsia="仿宋"/>
          <w:color w:val="auto"/>
          <w:sz w:val="24"/>
        </w:rPr>
        <w:t>（投标文件密封，一式两份，一正一副，胶装成册。所有证件均须真实、有效，复印件均须加盖公章，缺少以下任意一项内容即作无效标处理）</w:t>
      </w:r>
      <w:r>
        <w:rPr>
          <w:rFonts w:hint="eastAsia" w:ascii="仿宋" w:hAnsi="仿宋" w:eastAsia="仿宋"/>
          <w:color w:val="auto"/>
          <w:sz w:val="24"/>
          <w:szCs w:val="24"/>
        </w:rPr>
        <w:t>：</w:t>
      </w:r>
    </w:p>
    <w:p>
      <w:pPr>
        <w:adjustRightInd w:val="0"/>
        <w:snapToGrid w:val="0"/>
        <w:ind w:firstLine="480" w:firstLineChars="200"/>
        <w:jc w:val="left"/>
        <w:rPr>
          <w:rFonts w:ascii="仿宋" w:hAnsi="仿宋" w:eastAsia="仿宋"/>
          <w:b/>
          <w:bCs/>
          <w:color w:val="auto"/>
          <w:sz w:val="24"/>
          <w:szCs w:val="24"/>
        </w:rPr>
      </w:pPr>
      <w:r>
        <w:rPr>
          <w:rFonts w:hint="eastAsia" w:ascii="仿宋" w:hAnsi="仿宋" w:eastAsia="仿宋"/>
          <w:color w:val="auto"/>
          <w:sz w:val="24"/>
          <w:szCs w:val="24"/>
        </w:rPr>
        <w:t>1.投标报价清单(含货物、运输、安装、辅材、人工、调试、验收、安全、保险、税金等所涉及本项目的一切费用。投标报价高于采购预算的，则该报价为无效报价。报价以人民币计，并以大写为准)。</w:t>
      </w:r>
    </w:p>
    <w:p>
      <w:pPr>
        <w:adjustRightInd w:val="0"/>
        <w:snapToGrid w:val="0"/>
        <w:ind w:firstLine="480" w:firstLineChars="200"/>
        <w:jc w:val="left"/>
        <w:rPr>
          <w:rFonts w:ascii="仿宋" w:hAnsi="仿宋" w:eastAsia="仿宋"/>
          <w:color w:val="auto"/>
          <w:sz w:val="24"/>
        </w:rPr>
      </w:pPr>
      <w:r>
        <w:rPr>
          <w:rFonts w:hint="eastAsia" w:ascii="仿宋" w:hAnsi="仿宋" w:eastAsia="仿宋"/>
          <w:color w:val="auto"/>
          <w:sz w:val="24"/>
        </w:rPr>
        <w:t>2.有效的营业执照副本复印件；</w:t>
      </w:r>
    </w:p>
    <w:p>
      <w:pPr>
        <w:adjustRightInd w:val="0"/>
        <w:snapToGrid w:val="0"/>
        <w:ind w:firstLine="480" w:firstLineChars="200"/>
        <w:jc w:val="left"/>
        <w:rPr>
          <w:rFonts w:ascii="仿宋" w:hAnsi="仿宋" w:eastAsia="仿宋"/>
          <w:color w:val="auto"/>
          <w:sz w:val="24"/>
        </w:rPr>
      </w:pPr>
      <w:r>
        <w:rPr>
          <w:rFonts w:hint="eastAsia" w:ascii="仿宋" w:hAnsi="仿宋" w:eastAsia="仿宋"/>
          <w:color w:val="auto"/>
          <w:sz w:val="24"/>
        </w:rPr>
        <w:t>3.</w:t>
      </w:r>
      <w:r>
        <w:rPr>
          <w:rFonts w:hint="eastAsia" w:ascii="仿宋" w:hAnsi="仿宋" w:eastAsia="仿宋" w:cs="仿宋_GB2312"/>
          <w:color w:val="auto"/>
          <w:sz w:val="24"/>
        </w:rPr>
        <w:t>投标人开户银行、户名、账号；</w:t>
      </w:r>
    </w:p>
    <w:p>
      <w:pPr>
        <w:adjustRightInd w:val="0"/>
        <w:snapToGrid w:val="0"/>
        <w:ind w:firstLine="480" w:firstLineChars="200"/>
        <w:jc w:val="left"/>
        <w:rPr>
          <w:rFonts w:ascii="仿宋" w:hAnsi="仿宋" w:eastAsia="仿宋"/>
          <w:color w:val="auto"/>
          <w:sz w:val="24"/>
          <w:szCs w:val="24"/>
        </w:rPr>
      </w:pPr>
      <w:r>
        <w:rPr>
          <w:rFonts w:hint="eastAsia" w:ascii="仿宋" w:hAnsi="仿宋" w:eastAsia="仿宋" w:cs="仿宋_GB2312"/>
          <w:color w:val="auto"/>
          <w:sz w:val="24"/>
        </w:rPr>
        <w:t>4.</w:t>
      </w:r>
      <w:r>
        <w:rPr>
          <w:rFonts w:hint="eastAsia" w:ascii="仿宋" w:hAnsi="仿宋" w:eastAsia="仿宋"/>
          <w:color w:val="auto"/>
          <w:sz w:val="24"/>
          <w:szCs w:val="24"/>
        </w:rPr>
        <w:t>投标代表身份证复印件；如非法定代表人投标，另提供法定代表人授权委托书原件、法定代表人身份证复印件；</w:t>
      </w:r>
    </w:p>
    <w:p>
      <w:pPr>
        <w:adjustRightInd w:val="0"/>
        <w:snapToGrid w:val="0"/>
        <w:ind w:firstLine="480" w:firstLineChars="200"/>
        <w:jc w:val="left"/>
        <w:rPr>
          <w:rFonts w:ascii="仿宋" w:hAnsi="仿宋" w:eastAsia="仿宋"/>
          <w:color w:val="auto"/>
          <w:sz w:val="24"/>
          <w:szCs w:val="24"/>
        </w:rPr>
      </w:pPr>
      <w:r>
        <w:rPr>
          <w:rFonts w:hint="eastAsia" w:ascii="仿宋" w:hAnsi="仿宋" w:eastAsia="仿宋"/>
          <w:color w:val="auto"/>
          <w:sz w:val="24"/>
          <w:szCs w:val="24"/>
        </w:rPr>
        <w:t>5.</w:t>
      </w:r>
      <w:r>
        <w:rPr>
          <w:rFonts w:hint="eastAsia" w:ascii="仿宋" w:hAnsi="仿宋" w:eastAsia="仿宋"/>
          <w:color w:val="auto"/>
          <w:sz w:val="24"/>
        </w:rPr>
        <w:t>投标产品技术参数响应表（根据采购文件采购清单内容制作；投标产品必须注明品牌型号；同时应注明：不偏离、正偏离、负偏离）；</w:t>
      </w:r>
    </w:p>
    <w:p>
      <w:pPr>
        <w:adjustRightInd w:val="0"/>
        <w:snapToGrid w:val="0"/>
        <w:ind w:firstLine="480" w:firstLineChars="200"/>
        <w:jc w:val="left"/>
        <w:rPr>
          <w:rFonts w:ascii="仿宋" w:hAnsi="仿宋" w:eastAsia="仿宋"/>
          <w:color w:val="auto"/>
          <w:sz w:val="24"/>
          <w:szCs w:val="24"/>
        </w:rPr>
      </w:pPr>
      <w:r>
        <w:rPr>
          <w:rFonts w:hint="eastAsia" w:ascii="仿宋" w:hAnsi="仿宋" w:eastAsia="仿宋"/>
          <w:color w:val="auto"/>
          <w:sz w:val="24"/>
          <w:szCs w:val="24"/>
        </w:rPr>
        <w:t>6.其他相关证明材料</w:t>
      </w:r>
      <w:r>
        <w:rPr>
          <w:rFonts w:hint="eastAsia" w:ascii="仿宋" w:hAnsi="仿宋" w:eastAsia="仿宋" w:cs="仿宋_GB2312"/>
          <w:color w:val="auto"/>
          <w:sz w:val="24"/>
        </w:rPr>
        <w:t>（如:</w:t>
      </w:r>
      <w:r>
        <w:rPr>
          <w:rFonts w:hint="eastAsia" w:ascii="仿宋" w:hAnsi="仿宋" w:eastAsia="仿宋"/>
          <w:color w:val="auto"/>
          <w:sz w:val="24"/>
        </w:rPr>
        <w:t>采购文件要求提供</w:t>
      </w:r>
      <w:r>
        <w:rPr>
          <w:rFonts w:hint="eastAsia" w:ascii="仿宋" w:hAnsi="仿宋" w:eastAsia="仿宋" w:cs="仿宋_GB2312"/>
          <w:color w:val="auto"/>
          <w:sz w:val="24"/>
        </w:rPr>
        <w:t>的证明材料、投标人认为需要提交的材料等）；</w:t>
      </w:r>
    </w:p>
    <w:p>
      <w:pPr>
        <w:adjustRightInd w:val="0"/>
        <w:snapToGrid w:val="0"/>
        <w:ind w:firstLine="480" w:firstLineChars="200"/>
        <w:jc w:val="left"/>
        <w:rPr>
          <w:rFonts w:ascii="仿宋" w:hAnsi="仿宋" w:eastAsia="仿宋"/>
          <w:color w:val="auto"/>
          <w:sz w:val="24"/>
          <w:szCs w:val="24"/>
        </w:rPr>
      </w:pPr>
      <w:r>
        <w:rPr>
          <w:rFonts w:hint="eastAsia" w:ascii="仿宋" w:hAnsi="仿宋" w:eastAsia="仿宋"/>
          <w:color w:val="auto"/>
          <w:sz w:val="24"/>
          <w:szCs w:val="24"/>
        </w:rPr>
        <w:t>7.</w:t>
      </w:r>
      <w:r>
        <w:rPr>
          <w:rFonts w:hint="eastAsia" w:ascii="仿宋" w:hAnsi="仿宋" w:eastAsia="仿宋"/>
          <w:color w:val="auto"/>
          <w:sz w:val="24"/>
        </w:rPr>
        <w:t>提供自采购公告发布之日起至开标截止时间止的“信用中国”网站（www.creditchina.gov.cn）、中国政府采购网（www.ccgp.gov.cn）、</w:t>
      </w:r>
      <w:r>
        <w:rPr>
          <w:rFonts w:hint="eastAsia" w:ascii="仿宋" w:hAnsi="仿宋" w:eastAsia="仿宋" w:cs="仿宋_GB2312"/>
          <w:color w:val="auto"/>
          <w:sz w:val="24"/>
        </w:rPr>
        <w:t>“浙江政府采购网”（www.zjzfcg.gov.cn）</w:t>
      </w:r>
      <w:r>
        <w:rPr>
          <w:rFonts w:hint="eastAsia" w:ascii="仿宋" w:hAnsi="仿宋" w:eastAsia="仿宋"/>
          <w:color w:val="auto"/>
          <w:sz w:val="24"/>
        </w:rPr>
        <w:t>投标人信用查询网页截图（以开标当日采购人核实的查询结果为准）。（提供任何2个查询网页截图即可）；</w:t>
      </w:r>
    </w:p>
    <w:p>
      <w:pPr>
        <w:adjustRightInd w:val="0"/>
        <w:snapToGrid w:val="0"/>
        <w:ind w:firstLine="480" w:firstLineChars="200"/>
        <w:jc w:val="left"/>
        <w:rPr>
          <w:rFonts w:ascii="仿宋" w:hAnsi="仿宋" w:eastAsia="仿宋"/>
          <w:color w:val="auto"/>
          <w:sz w:val="24"/>
        </w:rPr>
      </w:pPr>
      <w:r>
        <w:rPr>
          <w:rFonts w:hint="eastAsia" w:ascii="仿宋" w:hAnsi="仿宋" w:eastAsia="仿宋"/>
          <w:color w:val="auto"/>
          <w:sz w:val="24"/>
        </w:rPr>
        <w:t>8.提供投标人未在行政处罚期内和未被列入经营异常名录的查询网页截图（国家企业信用信息公示系统：</w:t>
      </w:r>
      <w:r>
        <w:rPr>
          <w:rFonts w:hint="eastAsia" w:ascii="仿宋" w:hAnsi="仿宋" w:eastAsia="仿宋" w:cs="仿宋_GB2312"/>
          <w:color w:val="auto"/>
          <w:sz w:val="24"/>
        </w:rPr>
        <w:t>www.gsxt.gov.cn</w:t>
      </w:r>
      <w:r>
        <w:rPr>
          <w:rFonts w:hint="eastAsia" w:ascii="仿宋" w:hAnsi="仿宋" w:eastAsia="仿宋"/>
          <w:color w:val="auto"/>
          <w:sz w:val="24"/>
        </w:rPr>
        <w:t>）。</w:t>
      </w:r>
    </w:p>
    <w:p>
      <w:pPr>
        <w:adjustRightInd w:val="0"/>
        <w:snapToGrid w:val="0"/>
        <w:ind w:firstLine="472" w:firstLineChars="196"/>
        <w:jc w:val="left"/>
        <w:rPr>
          <w:rFonts w:ascii="仿宋" w:hAnsi="仿宋" w:eastAsia="仿宋"/>
          <w:b/>
          <w:color w:val="auto"/>
          <w:sz w:val="24"/>
          <w:szCs w:val="24"/>
        </w:rPr>
      </w:pPr>
      <w:r>
        <w:rPr>
          <w:rFonts w:hint="eastAsia" w:ascii="仿宋" w:hAnsi="仿宋" w:eastAsia="仿宋"/>
          <w:b/>
          <w:color w:val="auto"/>
          <w:sz w:val="24"/>
          <w:szCs w:val="24"/>
        </w:rPr>
        <w:t>三、投标文件递交及开标时间、地点</w:t>
      </w:r>
    </w:p>
    <w:p>
      <w:pPr>
        <w:adjustRightInd w:val="0"/>
        <w:snapToGrid w:val="0"/>
        <w:ind w:firstLine="480" w:firstLineChars="200"/>
        <w:jc w:val="left"/>
        <w:rPr>
          <w:rFonts w:ascii="仿宋" w:hAnsi="仿宋" w:eastAsia="仿宋"/>
          <w:color w:val="auto"/>
          <w:sz w:val="24"/>
          <w:szCs w:val="24"/>
        </w:rPr>
      </w:pPr>
      <w:r>
        <w:rPr>
          <w:rFonts w:hint="eastAsia" w:ascii="仿宋" w:hAnsi="仿宋" w:eastAsia="仿宋"/>
          <w:color w:val="auto"/>
          <w:sz w:val="24"/>
          <w:szCs w:val="24"/>
        </w:rPr>
        <w:t>1.开标时间：2020年11月16日下午14：30（投标人无需派代表出席开标会议）；</w:t>
      </w:r>
    </w:p>
    <w:p>
      <w:pPr>
        <w:adjustRightInd w:val="0"/>
        <w:snapToGrid w:val="0"/>
        <w:ind w:firstLine="480" w:firstLineChars="200"/>
        <w:jc w:val="left"/>
        <w:rPr>
          <w:rFonts w:ascii="仿宋" w:hAnsi="仿宋" w:eastAsia="仿宋"/>
          <w:color w:val="auto"/>
          <w:sz w:val="24"/>
          <w:szCs w:val="24"/>
        </w:rPr>
      </w:pPr>
      <w:r>
        <w:rPr>
          <w:rFonts w:hint="eastAsia" w:ascii="仿宋" w:hAnsi="仿宋" w:eastAsia="仿宋"/>
          <w:color w:val="auto"/>
          <w:sz w:val="24"/>
          <w:szCs w:val="24"/>
        </w:rPr>
        <w:t>2.开标地点：湖州市二环东路759号湖州师范学院东校区明达楼202室；</w:t>
      </w:r>
    </w:p>
    <w:p>
      <w:pPr>
        <w:adjustRightInd w:val="0"/>
        <w:snapToGrid w:val="0"/>
        <w:ind w:firstLine="480" w:firstLineChars="200"/>
        <w:jc w:val="left"/>
        <w:rPr>
          <w:rFonts w:ascii="仿宋" w:hAnsi="仿宋" w:eastAsia="仿宋"/>
          <w:color w:val="auto"/>
          <w:sz w:val="24"/>
          <w:szCs w:val="24"/>
        </w:rPr>
      </w:pPr>
      <w:r>
        <w:rPr>
          <w:rFonts w:hint="eastAsia" w:ascii="仿宋" w:hAnsi="仿宋" w:eastAsia="仿宋"/>
          <w:color w:val="auto"/>
          <w:sz w:val="24"/>
          <w:szCs w:val="24"/>
        </w:rPr>
        <w:t>3.联系人：董老师；</w:t>
      </w:r>
    </w:p>
    <w:p>
      <w:pPr>
        <w:adjustRightInd w:val="0"/>
        <w:snapToGrid w:val="0"/>
        <w:ind w:firstLine="480" w:firstLineChars="200"/>
        <w:jc w:val="left"/>
        <w:rPr>
          <w:rFonts w:ascii="仿宋" w:hAnsi="仿宋" w:eastAsia="仿宋"/>
          <w:color w:val="auto"/>
          <w:sz w:val="24"/>
          <w:szCs w:val="24"/>
        </w:rPr>
      </w:pPr>
      <w:r>
        <w:rPr>
          <w:rFonts w:hint="eastAsia" w:ascii="仿宋" w:hAnsi="仿宋" w:eastAsia="仿宋"/>
          <w:color w:val="auto"/>
          <w:sz w:val="24"/>
          <w:szCs w:val="24"/>
        </w:rPr>
        <w:t>4.电话：0572-2321093。</w:t>
      </w:r>
    </w:p>
    <w:p>
      <w:pPr>
        <w:adjustRightInd w:val="0"/>
        <w:snapToGrid w:val="0"/>
        <w:ind w:firstLine="472" w:firstLineChars="196"/>
        <w:jc w:val="left"/>
        <w:rPr>
          <w:rFonts w:ascii="仿宋" w:hAnsi="仿宋" w:eastAsia="仿宋"/>
          <w:b/>
          <w:color w:val="auto"/>
          <w:sz w:val="24"/>
          <w:szCs w:val="24"/>
        </w:rPr>
      </w:pPr>
      <w:r>
        <w:rPr>
          <w:rFonts w:hint="eastAsia" w:ascii="仿宋" w:hAnsi="仿宋" w:eastAsia="仿宋"/>
          <w:b/>
          <w:color w:val="auto"/>
          <w:sz w:val="24"/>
          <w:szCs w:val="24"/>
        </w:rPr>
        <w:t>四、中标办法</w:t>
      </w:r>
    </w:p>
    <w:p>
      <w:pPr>
        <w:adjustRightInd w:val="0"/>
        <w:snapToGrid w:val="0"/>
        <w:ind w:firstLine="480" w:firstLineChars="200"/>
        <w:jc w:val="left"/>
        <w:rPr>
          <w:rFonts w:ascii="仿宋" w:hAnsi="仿宋" w:eastAsia="仿宋"/>
          <w:color w:val="auto"/>
          <w:sz w:val="24"/>
        </w:rPr>
      </w:pPr>
      <w:r>
        <w:rPr>
          <w:rFonts w:hint="eastAsia" w:ascii="仿宋" w:hAnsi="仿宋" w:eastAsia="仿宋"/>
          <w:color w:val="auto"/>
          <w:sz w:val="24"/>
        </w:rPr>
        <w:t>本项目根据采购人采购文件要求和投标人投标文件承诺及报价确定拟中标人。在投标人投标文件完全满足采购人采购文件要求的前提下，按照最低价优先法确定拟中标人。</w:t>
      </w:r>
      <w:r>
        <w:rPr>
          <w:rFonts w:hint="eastAsia" w:ascii="仿宋" w:hAnsi="仿宋" w:eastAsia="仿宋"/>
          <w:color w:val="auto"/>
          <w:sz w:val="24"/>
          <w:szCs w:val="24"/>
        </w:rPr>
        <w:t>中标结果需经公示确认。</w:t>
      </w:r>
    </w:p>
    <w:p>
      <w:pPr>
        <w:adjustRightInd w:val="0"/>
        <w:snapToGrid w:val="0"/>
        <w:ind w:firstLine="472" w:firstLineChars="196"/>
        <w:jc w:val="left"/>
        <w:rPr>
          <w:rFonts w:ascii="仿宋" w:hAnsi="仿宋" w:eastAsia="仿宋"/>
          <w:b/>
          <w:color w:val="auto"/>
          <w:sz w:val="24"/>
          <w:szCs w:val="24"/>
        </w:rPr>
      </w:pPr>
      <w:r>
        <w:rPr>
          <w:rFonts w:hint="eastAsia" w:ascii="仿宋" w:hAnsi="仿宋" w:eastAsia="仿宋"/>
          <w:b/>
          <w:color w:val="auto"/>
          <w:sz w:val="24"/>
          <w:szCs w:val="24"/>
        </w:rPr>
        <w:t>五、履约保证金</w:t>
      </w:r>
    </w:p>
    <w:p>
      <w:pPr>
        <w:adjustRightInd w:val="0"/>
        <w:snapToGrid w:val="0"/>
        <w:ind w:firstLine="480" w:firstLineChars="200"/>
        <w:contextualSpacing/>
        <w:jc w:val="left"/>
        <w:rPr>
          <w:rFonts w:ascii="仿宋" w:hAnsi="仿宋" w:eastAsia="仿宋"/>
          <w:color w:val="auto"/>
          <w:sz w:val="24"/>
          <w:szCs w:val="24"/>
        </w:rPr>
      </w:pPr>
      <w:r>
        <w:rPr>
          <w:rFonts w:hint="eastAsia" w:ascii="仿宋" w:hAnsi="仿宋" w:eastAsia="仿宋" w:cs="Times New Roman"/>
          <w:color w:val="auto"/>
          <w:sz w:val="24"/>
        </w:rPr>
        <w:t>本项目的履约保证金为合同价的5%；履约保证金形式为：现金或银行、保险公司出具的保函；中标人应根据采购人要求汇入采购人指定账号或提供保函。合同履约完毕，</w:t>
      </w:r>
      <w:r>
        <w:rPr>
          <w:rFonts w:hint="eastAsia" w:ascii="仿宋" w:hAnsi="仿宋" w:eastAsia="仿宋"/>
          <w:color w:val="auto"/>
          <w:sz w:val="24"/>
        </w:rPr>
        <w:t>履约保证金无息退还。</w:t>
      </w:r>
      <w:r>
        <w:rPr>
          <w:rFonts w:hint="eastAsia" w:ascii="仿宋" w:hAnsi="仿宋" w:eastAsia="仿宋"/>
          <w:color w:val="auto"/>
          <w:sz w:val="24"/>
          <w:szCs w:val="24"/>
        </w:rPr>
        <w:t>采购人</w:t>
      </w:r>
      <w:r>
        <w:rPr>
          <w:rFonts w:ascii="仿宋" w:hAnsi="仿宋" w:eastAsia="仿宋"/>
          <w:color w:val="auto"/>
          <w:sz w:val="24"/>
          <w:szCs w:val="24"/>
        </w:rPr>
        <w:t>单位名称：湖州师范学院</w:t>
      </w:r>
      <w:r>
        <w:rPr>
          <w:rFonts w:hint="eastAsia" w:ascii="仿宋" w:hAnsi="仿宋" w:eastAsia="仿宋"/>
          <w:color w:val="auto"/>
          <w:sz w:val="24"/>
          <w:szCs w:val="24"/>
        </w:rPr>
        <w:t>；</w:t>
      </w:r>
      <w:r>
        <w:rPr>
          <w:rFonts w:ascii="仿宋" w:hAnsi="仿宋" w:eastAsia="仿宋"/>
          <w:color w:val="auto"/>
          <w:sz w:val="24"/>
          <w:szCs w:val="24"/>
        </w:rPr>
        <w:t>开户行：建行吴兴支行</w:t>
      </w:r>
      <w:r>
        <w:rPr>
          <w:rFonts w:hint="eastAsia" w:ascii="仿宋" w:hAnsi="仿宋" w:eastAsia="仿宋"/>
          <w:color w:val="auto"/>
          <w:sz w:val="24"/>
          <w:szCs w:val="24"/>
        </w:rPr>
        <w:t>；</w:t>
      </w:r>
      <w:r>
        <w:rPr>
          <w:rFonts w:ascii="仿宋" w:hAnsi="仿宋" w:eastAsia="仿宋"/>
          <w:color w:val="auto"/>
          <w:sz w:val="24"/>
          <w:szCs w:val="24"/>
        </w:rPr>
        <w:t>账号</w:t>
      </w:r>
      <w:r>
        <w:rPr>
          <w:rFonts w:hint="eastAsia" w:ascii="仿宋" w:hAnsi="仿宋" w:eastAsia="仿宋"/>
          <w:color w:val="auto"/>
          <w:sz w:val="24"/>
          <w:szCs w:val="24"/>
        </w:rPr>
        <w:t>：</w:t>
      </w:r>
      <w:r>
        <w:rPr>
          <w:rFonts w:ascii="仿宋" w:hAnsi="仿宋" w:eastAsia="仿宋"/>
          <w:color w:val="auto"/>
          <w:sz w:val="24"/>
          <w:szCs w:val="24"/>
        </w:rPr>
        <w:t>33001649335050002860</w:t>
      </w:r>
      <w:r>
        <w:rPr>
          <w:rFonts w:hint="eastAsia" w:ascii="仿宋" w:hAnsi="仿宋" w:eastAsia="仿宋"/>
          <w:color w:val="auto"/>
          <w:sz w:val="24"/>
          <w:szCs w:val="24"/>
        </w:rPr>
        <w:t>。</w:t>
      </w:r>
      <w:r>
        <w:rPr>
          <w:rFonts w:ascii="仿宋" w:hAnsi="仿宋" w:eastAsia="仿宋"/>
          <w:color w:val="auto"/>
          <w:sz w:val="24"/>
          <w:szCs w:val="24"/>
        </w:rPr>
        <w:t>统一社会信用代码：123305004711725032</w:t>
      </w:r>
      <w:r>
        <w:rPr>
          <w:rFonts w:hint="eastAsia" w:ascii="仿宋" w:hAnsi="仿宋" w:eastAsia="仿宋"/>
          <w:color w:val="auto"/>
          <w:sz w:val="24"/>
          <w:szCs w:val="24"/>
        </w:rPr>
        <w:t>。地址、电话：湖州市二环东路759号，0572-2321567。</w:t>
      </w:r>
    </w:p>
    <w:p>
      <w:pPr>
        <w:adjustRightInd w:val="0"/>
        <w:snapToGrid w:val="0"/>
        <w:ind w:firstLine="472" w:firstLineChars="196"/>
        <w:jc w:val="left"/>
        <w:rPr>
          <w:rFonts w:ascii="仿宋" w:hAnsi="仿宋" w:eastAsia="仿宋"/>
          <w:b/>
          <w:color w:val="auto"/>
          <w:sz w:val="24"/>
          <w:szCs w:val="24"/>
        </w:rPr>
      </w:pPr>
      <w:r>
        <w:rPr>
          <w:rFonts w:hint="eastAsia" w:ascii="仿宋" w:hAnsi="仿宋" w:eastAsia="仿宋"/>
          <w:b/>
          <w:color w:val="auto"/>
          <w:sz w:val="24"/>
          <w:szCs w:val="24"/>
        </w:rPr>
        <w:t>六、付款方式</w:t>
      </w:r>
    </w:p>
    <w:p>
      <w:pPr>
        <w:adjustRightInd w:val="0"/>
        <w:snapToGrid w:val="0"/>
        <w:ind w:firstLine="470" w:firstLineChars="196"/>
        <w:jc w:val="left"/>
        <w:rPr>
          <w:rFonts w:ascii="仿宋" w:hAnsi="仿宋" w:eastAsia="仿宋" w:cs="仿宋"/>
          <w:color w:val="auto"/>
          <w:sz w:val="24"/>
        </w:rPr>
      </w:pPr>
      <w:r>
        <w:rPr>
          <w:rFonts w:hint="eastAsia" w:ascii="仿宋" w:hAnsi="仿宋" w:eastAsia="仿宋" w:cs="仿宋"/>
          <w:color w:val="auto"/>
          <w:sz w:val="24"/>
        </w:rPr>
        <w:t>在疫情期间，根据浙江省财政厅《关于坚决打赢疫情防控阻击战进一步做好政府采购资金支持企业发展工作的通知》（浙财采监﹝2020﹞3号）要求,制订以下付款方式:</w:t>
      </w:r>
    </w:p>
    <w:p>
      <w:pPr>
        <w:ind w:firstLine="480" w:firstLineChars="200"/>
        <w:rPr>
          <w:rFonts w:ascii="仿宋" w:hAnsi="仿宋" w:eastAsia="仿宋"/>
          <w:color w:val="auto"/>
          <w:sz w:val="24"/>
        </w:rPr>
      </w:pPr>
      <w:r>
        <w:rPr>
          <w:rFonts w:hint="eastAsia" w:ascii="仿宋" w:hAnsi="仿宋" w:eastAsia="仿宋"/>
          <w:color w:val="auto"/>
          <w:sz w:val="24"/>
        </w:rPr>
        <w:t>（1）货款预付：签订合同后，采购人可以按照合同金额的10％支付预付款给中标人，但中标人需提交银行、保险公司等金融机构出具的预付款保函或其他担保措施；如中标人不提交预付款保函或其他担保措施，采购人不予支付预付款。</w:t>
      </w:r>
    </w:p>
    <w:p>
      <w:pPr>
        <w:ind w:firstLine="480" w:firstLineChars="200"/>
        <w:rPr>
          <w:rFonts w:ascii="仿宋" w:hAnsi="仿宋" w:eastAsia="仿宋"/>
          <w:color w:val="auto"/>
          <w:sz w:val="24"/>
        </w:rPr>
      </w:pPr>
      <w:r>
        <w:rPr>
          <w:rFonts w:hint="eastAsia" w:ascii="仿宋" w:hAnsi="仿宋" w:eastAsia="仿宋"/>
          <w:color w:val="auto"/>
          <w:sz w:val="24"/>
        </w:rPr>
        <w:t>（2）货款支付：项目经采购人验收合格后，以年度为单位，按实际工作量，据实结算。中标人开具发票，一次性全额支付货款。</w:t>
      </w:r>
    </w:p>
    <w:p>
      <w:pPr>
        <w:adjustRightInd w:val="0"/>
        <w:snapToGrid w:val="0"/>
        <w:ind w:firstLine="472" w:firstLineChars="196"/>
        <w:jc w:val="left"/>
        <w:rPr>
          <w:rFonts w:ascii="仿宋" w:hAnsi="仿宋" w:eastAsia="仿宋"/>
          <w:b/>
          <w:bCs/>
          <w:color w:val="auto"/>
          <w:sz w:val="24"/>
        </w:rPr>
      </w:pPr>
      <w:r>
        <w:rPr>
          <w:rFonts w:hint="eastAsia" w:ascii="仿宋" w:hAnsi="仿宋" w:eastAsia="仿宋"/>
          <w:b/>
          <w:bCs/>
          <w:color w:val="auto"/>
          <w:sz w:val="24"/>
        </w:rPr>
        <w:t>七、交货时间及地点</w:t>
      </w:r>
    </w:p>
    <w:p>
      <w:pPr>
        <w:adjustRightInd w:val="0"/>
        <w:snapToGrid w:val="0"/>
        <w:ind w:firstLine="482" w:firstLineChars="200"/>
        <w:jc w:val="left"/>
        <w:rPr>
          <w:rFonts w:ascii="仿宋" w:hAnsi="仿宋" w:eastAsia="仿宋"/>
          <w:b/>
          <w:color w:val="auto"/>
          <w:sz w:val="24"/>
        </w:rPr>
      </w:pPr>
      <w:r>
        <w:rPr>
          <w:rFonts w:hint="eastAsia" w:ascii="仿宋" w:hAnsi="仿宋" w:eastAsia="仿宋"/>
          <w:b/>
          <w:color w:val="auto"/>
          <w:sz w:val="24"/>
        </w:rPr>
        <w:t>交货时间：</w:t>
      </w:r>
      <w:r>
        <w:rPr>
          <w:rFonts w:hint="eastAsia" w:ascii="仿宋" w:hAnsi="仿宋" w:eastAsia="仿宋"/>
          <w:b/>
          <w:color w:val="auto"/>
          <w:sz w:val="24"/>
        </w:rPr>
        <w:t>11月</w:t>
      </w:r>
      <w:r>
        <w:rPr>
          <w:rFonts w:ascii="仿宋" w:hAnsi="仿宋" w:eastAsia="仿宋"/>
          <w:b/>
          <w:color w:val="auto"/>
          <w:sz w:val="24"/>
        </w:rPr>
        <w:t>23</w:t>
      </w:r>
      <w:r>
        <w:rPr>
          <w:rFonts w:hint="eastAsia" w:ascii="仿宋" w:hAnsi="仿宋" w:eastAsia="仿宋"/>
          <w:b/>
          <w:color w:val="auto"/>
          <w:sz w:val="24"/>
        </w:rPr>
        <w:t>日前完成供货，并安装完成。</w:t>
      </w:r>
      <w:r>
        <w:rPr>
          <w:rFonts w:hint="eastAsia" w:ascii="仿宋" w:hAnsi="仿宋" w:eastAsia="仿宋"/>
          <w:b/>
          <w:color w:val="auto"/>
          <w:sz w:val="24"/>
        </w:rPr>
        <w:t>逾期没收履约保证金，采购人有权单方面解除合同。</w:t>
      </w:r>
    </w:p>
    <w:p>
      <w:pPr>
        <w:adjustRightInd w:val="0"/>
        <w:snapToGrid w:val="0"/>
        <w:ind w:firstLine="480" w:firstLineChars="200"/>
        <w:jc w:val="left"/>
        <w:rPr>
          <w:rFonts w:ascii="仿宋" w:hAnsi="仿宋" w:eastAsia="仿宋"/>
          <w:color w:val="auto"/>
          <w:sz w:val="24"/>
        </w:rPr>
      </w:pPr>
      <w:r>
        <w:rPr>
          <w:rFonts w:hint="eastAsia" w:ascii="仿宋" w:hAnsi="仿宋" w:eastAsia="仿宋"/>
          <w:color w:val="auto"/>
          <w:sz w:val="24"/>
        </w:rPr>
        <w:t>交货地点：湖州师范学院采购人指定地点。</w:t>
      </w:r>
    </w:p>
    <w:p>
      <w:pPr>
        <w:adjustRightInd w:val="0"/>
        <w:snapToGrid w:val="0"/>
        <w:ind w:firstLine="472" w:firstLineChars="196"/>
        <w:jc w:val="left"/>
        <w:rPr>
          <w:rFonts w:ascii="仿宋" w:hAnsi="仿宋" w:eastAsia="仿宋"/>
          <w:b/>
          <w:bCs/>
          <w:color w:val="auto"/>
          <w:sz w:val="24"/>
        </w:rPr>
      </w:pPr>
      <w:r>
        <w:rPr>
          <w:rFonts w:hint="eastAsia" w:ascii="仿宋" w:hAnsi="仿宋" w:eastAsia="仿宋"/>
          <w:b/>
          <w:bCs/>
          <w:color w:val="auto"/>
          <w:sz w:val="24"/>
        </w:rPr>
        <w:t>八、质保期</w:t>
      </w:r>
    </w:p>
    <w:p>
      <w:pPr>
        <w:adjustRightInd w:val="0"/>
        <w:snapToGrid w:val="0"/>
        <w:ind w:firstLine="482" w:firstLineChars="200"/>
        <w:rPr>
          <w:rFonts w:ascii="仿宋" w:hAnsi="仿宋" w:eastAsia="仿宋"/>
          <w:color w:val="auto"/>
          <w:sz w:val="24"/>
        </w:rPr>
      </w:pPr>
      <w:r>
        <w:rPr>
          <w:rFonts w:hint="eastAsia" w:ascii="仿宋" w:hAnsi="仿宋" w:eastAsia="仿宋"/>
          <w:b/>
          <w:color w:val="auto"/>
          <w:sz w:val="24"/>
          <w:szCs w:val="24"/>
        </w:rPr>
        <w:t>质保期：1年，自验收合格之日起计算。</w:t>
      </w:r>
      <w:r>
        <w:rPr>
          <w:rFonts w:hint="eastAsia" w:ascii="仿宋" w:hAnsi="仿宋" w:eastAsia="仿宋"/>
          <w:color w:val="auto"/>
          <w:sz w:val="24"/>
        </w:rPr>
        <w:t>质保期内出现质量问题，中标人应在48小时内完成免费维修或更换。</w:t>
      </w:r>
    </w:p>
    <w:p>
      <w:pPr>
        <w:adjustRightInd w:val="0"/>
        <w:snapToGrid w:val="0"/>
        <w:ind w:firstLine="472" w:firstLineChars="196"/>
        <w:jc w:val="left"/>
        <w:rPr>
          <w:rFonts w:ascii="仿宋" w:hAnsi="仿宋" w:eastAsia="仿宋"/>
          <w:b/>
          <w:bCs/>
          <w:color w:val="auto"/>
          <w:sz w:val="24"/>
        </w:rPr>
      </w:pPr>
      <w:r>
        <w:rPr>
          <w:rFonts w:hint="eastAsia" w:ascii="仿宋" w:hAnsi="仿宋" w:eastAsia="仿宋"/>
          <w:b/>
          <w:bCs/>
          <w:color w:val="auto"/>
          <w:sz w:val="24"/>
        </w:rPr>
        <w:t>九、产品质量保证</w:t>
      </w:r>
    </w:p>
    <w:p>
      <w:pPr>
        <w:adjustRightInd w:val="0"/>
        <w:snapToGrid w:val="0"/>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pPr>
        <w:adjustRightInd w:val="0"/>
        <w:snapToGrid w:val="0"/>
        <w:ind w:firstLine="480" w:firstLineChars="200"/>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中标人提供的产品如不符合采购文件要求和合同规定，采购人有权无条件退货，由中标人承担全部责任。</w:t>
      </w:r>
    </w:p>
    <w:p>
      <w:pPr>
        <w:adjustRightInd w:val="0"/>
        <w:snapToGrid w:val="0"/>
        <w:ind w:firstLine="480" w:firstLineChars="200"/>
        <w:rPr>
          <w:rFonts w:hint="eastAsia" w:ascii="仿宋" w:hAnsi="仿宋" w:eastAsia="仿宋"/>
          <w:color w:val="auto"/>
          <w:sz w:val="24"/>
        </w:rPr>
      </w:pPr>
      <w:r>
        <w:rPr>
          <w:rFonts w:hint="eastAsia" w:ascii="仿宋" w:hAnsi="仿宋" w:eastAsia="仿宋"/>
          <w:color w:val="auto"/>
          <w:sz w:val="24"/>
        </w:rPr>
        <w:t>3</w:t>
      </w:r>
      <w:r>
        <w:rPr>
          <w:rFonts w:ascii="仿宋" w:hAnsi="仿宋" w:eastAsia="仿宋"/>
          <w:color w:val="auto"/>
          <w:sz w:val="24"/>
        </w:rPr>
        <w:t>.</w:t>
      </w:r>
      <w:r>
        <w:rPr>
          <w:rFonts w:hint="eastAsia" w:ascii="仿宋" w:hAnsi="仿宋" w:eastAsia="仿宋"/>
          <w:color w:val="auto"/>
          <w:sz w:val="24"/>
        </w:rPr>
        <w:t>投标人提供产品必须满足各类国家环保标准，满足有害气体排放相关国家标准，以保障师生身体健康。</w:t>
      </w:r>
    </w:p>
    <w:p>
      <w:pPr>
        <w:adjustRightInd w:val="0"/>
        <w:snapToGrid w:val="0"/>
        <w:ind w:firstLine="472" w:firstLineChars="196"/>
        <w:jc w:val="left"/>
        <w:rPr>
          <w:rFonts w:ascii="仿宋" w:hAnsi="仿宋" w:eastAsia="仿宋"/>
          <w:b/>
          <w:color w:val="auto"/>
          <w:sz w:val="24"/>
        </w:rPr>
      </w:pPr>
      <w:r>
        <w:rPr>
          <w:rFonts w:hint="eastAsia" w:ascii="仿宋" w:hAnsi="仿宋" w:eastAsia="仿宋"/>
          <w:b/>
          <w:color w:val="auto"/>
          <w:sz w:val="24"/>
        </w:rPr>
        <w:t>附件一：</w:t>
      </w:r>
      <w:r>
        <w:rPr>
          <w:rFonts w:ascii="仿宋" w:hAnsi="仿宋" w:eastAsia="仿宋"/>
          <w:b/>
          <w:color w:val="auto"/>
          <w:sz w:val="24"/>
        </w:rPr>
        <w:t>投标报价</w:t>
      </w:r>
      <w:r>
        <w:rPr>
          <w:rFonts w:hint="eastAsia" w:ascii="仿宋" w:hAnsi="仿宋" w:eastAsia="仿宋"/>
          <w:b/>
          <w:color w:val="auto"/>
          <w:sz w:val="24"/>
        </w:rPr>
        <w:t>清单。</w:t>
      </w:r>
    </w:p>
    <w:p>
      <w:pPr>
        <w:ind w:firstLine="470" w:firstLineChars="196"/>
        <w:jc w:val="left"/>
        <w:rPr>
          <w:rFonts w:ascii="仿宋" w:hAnsi="仿宋" w:eastAsia="仿宋"/>
          <w:color w:val="auto"/>
          <w:sz w:val="24"/>
          <w:szCs w:val="24"/>
        </w:rPr>
      </w:pPr>
    </w:p>
    <w:p>
      <w:pPr>
        <w:ind w:firstLine="470" w:firstLineChars="196"/>
        <w:jc w:val="left"/>
        <w:rPr>
          <w:rFonts w:ascii="仿宋" w:hAnsi="仿宋" w:eastAsia="仿宋"/>
          <w:color w:val="auto"/>
          <w:sz w:val="24"/>
          <w:szCs w:val="24"/>
        </w:rPr>
      </w:pPr>
    </w:p>
    <w:p>
      <w:pPr>
        <w:ind w:right="480" w:firstLine="4819" w:firstLineChars="2000"/>
        <w:rPr>
          <w:rFonts w:ascii="仿宋" w:hAnsi="仿宋" w:eastAsia="仿宋"/>
          <w:b/>
          <w:color w:val="auto"/>
          <w:sz w:val="24"/>
          <w:szCs w:val="24"/>
        </w:rPr>
      </w:pPr>
      <w:r>
        <w:rPr>
          <w:rFonts w:hint="eastAsia" w:ascii="仿宋" w:hAnsi="仿宋" w:eastAsia="仿宋"/>
          <w:b/>
          <w:color w:val="auto"/>
          <w:sz w:val="24"/>
          <w:szCs w:val="24"/>
        </w:rPr>
        <w:t xml:space="preserve">湖州师范学院采购管理中心 </w:t>
      </w:r>
    </w:p>
    <w:p>
      <w:pPr>
        <w:ind w:right="480" w:firstLine="5180" w:firstLineChars="2150"/>
        <w:rPr>
          <w:rFonts w:ascii="仿宋" w:hAnsi="仿宋" w:eastAsia="仿宋"/>
          <w:b/>
          <w:color w:val="auto"/>
          <w:sz w:val="24"/>
          <w:szCs w:val="24"/>
        </w:rPr>
      </w:pPr>
      <w:r>
        <w:rPr>
          <w:rFonts w:hint="eastAsia" w:ascii="仿宋" w:hAnsi="仿宋" w:eastAsia="仿宋"/>
          <w:b/>
          <w:color w:val="auto"/>
          <w:sz w:val="24"/>
          <w:szCs w:val="24"/>
        </w:rPr>
        <w:t>2020年11月09日</w:t>
      </w:r>
    </w:p>
    <w:p>
      <w:pPr>
        <w:pStyle w:val="3"/>
        <w:snapToGrid w:val="0"/>
        <w:spacing w:beforeLines="0" w:afterLines="0" w:line="240" w:lineRule="auto"/>
        <w:jc w:val="left"/>
        <w:rPr>
          <w:rFonts w:ascii="黑体" w:hAnsi="黑体" w:eastAsia="黑体"/>
          <w:color w:val="auto"/>
        </w:rPr>
      </w:pPr>
    </w:p>
    <w:p>
      <w:pPr>
        <w:pStyle w:val="3"/>
        <w:snapToGrid w:val="0"/>
        <w:spacing w:beforeLines="0" w:afterLines="0" w:line="240" w:lineRule="auto"/>
        <w:jc w:val="left"/>
        <w:rPr>
          <w:rFonts w:ascii="黑体" w:hAnsi="黑体" w:eastAsia="黑体"/>
          <w:color w:val="auto"/>
        </w:rPr>
      </w:pPr>
    </w:p>
    <w:p>
      <w:pPr>
        <w:pStyle w:val="3"/>
        <w:snapToGrid w:val="0"/>
        <w:spacing w:beforeLines="0" w:afterLines="0" w:line="240" w:lineRule="auto"/>
        <w:jc w:val="left"/>
        <w:rPr>
          <w:rFonts w:ascii="黑体" w:hAnsi="黑体" w:eastAsia="黑体"/>
          <w:color w:val="auto"/>
        </w:rPr>
      </w:pPr>
      <w:r>
        <w:rPr>
          <w:rFonts w:hint="eastAsia" w:ascii="黑体" w:hAnsi="黑体" w:eastAsia="黑体"/>
          <w:color w:val="auto"/>
        </w:rPr>
        <w:t>附件一：</w:t>
      </w:r>
      <w:r>
        <w:rPr>
          <w:rFonts w:ascii="黑体" w:hAnsi="黑体" w:eastAsia="黑体"/>
          <w:color w:val="auto"/>
        </w:rPr>
        <w:t>投标报价</w:t>
      </w:r>
      <w:r>
        <w:rPr>
          <w:rFonts w:hint="eastAsia" w:ascii="黑体" w:hAnsi="黑体" w:eastAsia="黑体"/>
          <w:color w:val="auto"/>
        </w:rPr>
        <w:t>清单</w:t>
      </w:r>
    </w:p>
    <w:p>
      <w:pPr>
        <w:snapToGrid w:val="0"/>
        <w:spacing w:before="50" w:after="50"/>
        <w:jc w:val="center"/>
        <w:rPr>
          <w:rFonts w:ascii="仿宋" w:hAnsi="仿宋" w:eastAsia="仿宋"/>
          <w:b/>
          <w:color w:val="auto"/>
          <w:sz w:val="24"/>
        </w:rPr>
      </w:pPr>
      <w:r>
        <w:rPr>
          <w:rFonts w:hint="eastAsia" w:ascii="仿宋" w:hAnsi="仿宋" w:eastAsia="仿宋"/>
          <w:b/>
          <w:color w:val="auto"/>
          <w:sz w:val="24"/>
        </w:rPr>
        <w:t>投标报价清单</w:t>
      </w:r>
    </w:p>
    <w:p>
      <w:pPr>
        <w:jc w:val="left"/>
        <w:rPr>
          <w:rFonts w:ascii="仿宋" w:hAnsi="仿宋" w:eastAsia="仿宋"/>
          <w:b/>
          <w:color w:val="auto"/>
          <w:sz w:val="24"/>
        </w:rPr>
      </w:pPr>
      <w:r>
        <w:rPr>
          <w:rFonts w:hint="eastAsia" w:ascii="仿宋" w:hAnsi="仿宋" w:eastAsia="仿宋"/>
          <w:b/>
          <w:color w:val="auto"/>
          <w:sz w:val="24"/>
        </w:rPr>
        <w:t>采购项目名称：</w:t>
      </w:r>
      <w:r>
        <w:rPr>
          <w:rFonts w:hint="eastAsia" w:ascii="仿宋" w:hAnsi="仿宋" w:eastAsia="仿宋"/>
          <w:b/>
          <w:color w:val="auto"/>
          <w:sz w:val="24"/>
          <w:szCs w:val="24"/>
        </w:rPr>
        <w:t>湖州师范学院教师教育实训中心走廊文化建设采购项目</w:t>
      </w:r>
    </w:p>
    <w:p>
      <w:pPr>
        <w:jc w:val="left"/>
        <w:rPr>
          <w:rFonts w:ascii="仿宋" w:hAnsi="仿宋" w:eastAsia="仿宋"/>
          <w:b/>
          <w:color w:val="auto"/>
          <w:sz w:val="24"/>
          <w:szCs w:val="24"/>
        </w:rPr>
      </w:pPr>
      <w:r>
        <w:rPr>
          <w:rFonts w:hint="eastAsia" w:ascii="仿宋" w:hAnsi="仿宋" w:eastAsia="仿宋"/>
          <w:b/>
          <w:color w:val="auto"/>
          <w:sz w:val="24"/>
        </w:rPr>
        <w:t>采购项目编号：</w:t>
      </w:r>
      <w:r>
        <w:rPr>
          <w:rFonts w:hint="eastAsia" w:ascii="仿宋" w:hAnsi="仿宋" w:eastAsia="仿宋"/>
          <w:b/>
          <w:color w:val="auto"/>
          <w:sz w:val="24"/>
          <w:szCs w:val="24"/>
        </w:rPr>
        <w:t>XZ2020-145</w:t>
      </w:r>
    </w:p>
    <w:tbl>
      <w:tblPr>
        <w:tblStyle w:val="9"/>
        <w:tblW w:w="8830" w:type="dxa"/>
        <w:jc w:val="center"/>
        <w:tblLayout w:type="fixed"/>
        <w:tblCellMar>
          <w:top w:w="0" w:type="dxa"/>
          <w:left w:w="0" w:type="dxa"/>
          <w:bottom w:w="0" w:type="dxa"/>
          <w:right w:w="0" w:type="dxa"/>
        </w:tblCellMar>
      </w:tblPr>
      <w:tblGrid>
        <w:gridCol w:w="607"/>
        <w:gridCol w:w="1883"/>
        <w:gridCol w:w="1262"/>
        <w:gridCol w:w="800"/>
        <w:gridCol w:w="850"/>
        <w:gridCol w:w="633"/>
        <w:gridCol w:w="650"/>
        <w:gridCol w:w="629"/>
        <w:gridCol w:w="776"/>
        <w:gridCol w:w="740"/>
      </w:tblGrid>
      <w:tr>
        <w:tblPrEx>
          <w:tblCellMar>
            <w:top w:w="0" w:type="dxa"/>
            <w:left w:w="0" w:type="dxa"/>
            <w:bottom w:w="0" w:type="dxa"/>
            <w:right w:w="0" w:type="dxa"/>
          </w:tblCellMar>
        </w:tblPrEx>
        <w:trPr>
          <w:trHeight w:val="460" w:hRule="atLeast"/>
          <w:jc w:val="center"/>
        </w:trPr>
        <w:tc>
          <w:tcPr>
            <w:tcW w:w="8830" w:type="dxa"/>
            <w:gridSpan w:val="10"/>
            <w:tcBorders>
              <w:top w:val="nil"/>
              <w:left w:val="nil"/>
              <w:bottom w:val="nil"/>
              <w:right w:val="nil"/>
            </w:tcBorders>
            <w:shd w:val="clear" w:color="auto" w:fill="E7E6E6"/>
            <w:noWrap/>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一楼</w:t>
            </w:r>
          </w:p>
        </w:tc>
      </w:tr>
      <w:tr>
        <w:tblPrEx>
          <w:tblCellMar>
            <w:top w:w="0" w:type="dxa"/>
            <w:left w:w="0" w:type="dxa"/>
            <w:bottom w:w="0" w:type="dxa"/>
            <w:right w:w="0" w:type="dxa"/>
          </w:tblCellMar>
        </w:tblPrEx>
        <w:trPr>
          <w:trHeight w:val="440" w:hRule="atLeast"/>
          <w:jc w:val="center"/>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序号</w:t>
            </w:r>
          </w:p>
        </w:tc>
        <w:tc>
          <w:tcPr>
            <w:tcW w:w="3145" w:type="dxa"/>
            <w:gridSpan w:val="2"/>
            <w:vMerge w:val="restart"/>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项目名称</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规格(m)</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数量</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面积</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单位</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szCs w:val="21"/>
              </w:rPr>
              <w:t>单价（元）</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szCs w:val="21"/>
              </w:rPr>
              <w:t>小计（元）</w:t>
            </w:r>
          </w:p>
        </w:tc>
      </w:tr>
      <w:tr>
        <w:tblPrEx>
          <w:tblCellMar>
            <w:top w:w="0" w:type="dxa"/>
            <w:left w:w="0" w:type="dxa"/>
            <w:bottom w:w="0" w:type="dxa"/>
            <w:right w:w="0" w:type="dxa"/>
          </w:tblCellMar>
        </w:tblPrEx>
        <w:trPr>
          <w:trHeight w:val="440"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jc w:val="center"/>
              <w:rPr>
                <w:rFonts w:ascii="仿宋" w:hAnsi="仿宋" w:eastAsia="仿宋" w:cs="仿宋"/>
                <w:b/>
                <w:color w:val="auto"/>
                <w:szCs w:val="21"/>
              </w:rPr>
            </w:pPr>
          </w:p>
        </w:tc>
        <w:tc>
          <w:tcPr>
            <w:tcW w:w="3145" w:type="dxa"/>
            <w:gridSpan w:val="2"/>
            <w:vMerge w:val="continue"/>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jc w:val="center"/>
              <w:rPr>
                <w:rFonts w:ascii="仿宋" w:hAnsi="仿宋" w:eastAsia="仿宋" w:cs="仿宋"/>
                <w:b/>
                <w:color w:val="auto"/>
                <w:szCs w:val="21"/>
              </w:rPr>
            </w:pPr>
          </w:p>
        </w:tc>
        <w:tc>
          <w:tcPr>
            <w:tcW w:w="800"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长</w:t>
            </w:r>
          </w:p>
        </w:tc>
        <w:tc>
          <w:tcPr>
            <w:tcW w:w="850"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宽</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jc w:val="center"/>
              <w:rPr>
                <w:rFonts w:ascii="仿宋" w:hAnsi="仿宋" w:eastAsia="仿宋" w:cs="仿宋"/>
                <w:b/>
                <w:color w:val="auto"/>
                <w:szCs w:val="21"/>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jc w:val="center"/>
              <w:rPr>
                <w:rFonts w:ascii="仿宋" w:hAnsi="仿宋" w:eastAsia="仿宋" w:cs="仿宋"/>
                <w:b/>
                <w:color w:val="auto"/>
                <w:szCs w:val="21"/>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jc w:val="center"/>
              <w:rPr>
                <w:rFonts w:ascii="仿宋" w:hAnsi="仿宋" w:eastAsia="仿宋" w:cs="仿宋"/>
                <w:b/>
                <w:color w:val="auto"/>
                <w:szCs w:val="21"/>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jc w:val="center"/>
              <w:rPr>
                <w:rFonts w:ascii="仿宋" w:hAnsi="仿宋" w:eastAsia="仿宋" w:cs="仿宋"/>
                <w:b/>
                <w:color w:val="auto"/>
                <w:szCs w:val="21"/>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jc w:val="center"/>
              <w:rPr>
                <w:rFonts w:ascii="仿宋" w:hAnsi="仿宋" w:eastAsia="仿宋" w:cs="仿宋"/>
                <w:b/>
                <w:color w:val="auto"/>
                <w:szCs w:val="21"/>
              </w:rPr>
            </w:pPr>
          </w:p>
        </w:tc>
      </w:tr>
      <w:tr>
        <w:tblPrEx>
          <w:tblCellMar>
            <w:top w:w="0" w:type="dxa"/>
            <w:left w:w="0" w:type="dxa"/>
            <w:bottom w:w="0" w:type="dxa"/>
            <w:right w:w="0" w:type="dxa"/>
          </w:tblCellMar>
        </w:tblPrEx>
        <w:trPr>
          <w:trHeight w:val="440" w:hRule="atLeast"/>
          <w:jc w:val="center"/>
        </w:trPr>
        <w:tc>
          <w:tcPr>
            <w:tcW w:w="6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w:t>
            </w:r>
          </w:p>
        </w:tc>
        <w:tc>
          <w:tcPr>
            <w:tcW w:w="314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户外教师教育实训中心金属字</w:t>
            </w:r>
          </w:p>
        </w:tc>
        <w:tc>
          <w:tcPr>
            <w:tcW w:w="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1.25</w:t>
            </w:r>
          </w:p>
        </w:tc>
        <w:tc>
          <w:tcPr>
            <w:tcW w:w="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1.25</w:t>
            </w:r>
          </w:p>
        </w:tc>
        <w:tc>
          <w:tcPr>
            <w:tcW w:w="6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8</w:t>
            </w:r>
          </w:p>
        </w:tc>
        <w:tc>
          <w:tcPr>
            <w:tcW w:w="6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个</w:t>
            </w:r>
          </w:p>
        </w:tc>
        <w:tc>
          <w:tcPr>
            <w:tcW w:w="7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c>
          <w:tcPr>
            <w:tcW w:w="7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习近平四有老师</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0.6</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40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学校精神印章</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0.62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0.62</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块</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4</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校训印章</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0.97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0.97</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块</w:t>
            </w: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Cs w:val="21"/>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Cs w:val="21"/>
              </w:rPr>
            </w:pP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5</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胡瑗雕塑、校训石介绍展板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1.2</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440" w:hRule="atLeast"/>
          <w:jc w:val="center"/>
        </w:trPr>
        <w:tc>
          <w:tcPr>
            <w:tcW w:w="8830" w:type="dxa"/>
            <w:gridSpan w:val="10"/>
            <w:tcBorders>
              <w:top w:val="single" w:color="000000" w:sz="4" w:space="0"/>
              <w:left w:val="single" w:color="000000" w:sz="4" w:space="0"/>
              <w:bottom w:val="single" w:color="000000" w:sz="4" w:space="0"/>
              <w:right w:val="single" w:color="000000" w:sz="4" w:space="0"/>
            </w:tcBorders>
            <w:shd w:val="clear" w:color="auto" w:fill="E7E6E6"/>
            <w:noWrap/>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四楼</w:t>
            </w: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6</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创客标题</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0.55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0.45</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Cs w:val="21"/>
                <w:lang w:bidi="ar"/>
              </w:rPr>
            </w:pP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7</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教师文字装饰墙水晶字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7.4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1.22</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Cs w:val="21"/>
                <w:lang w:bidi="ar"/>
              </w:rPr>
            </w:pP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8</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教学场景画框</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0.6</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Cs w:val="21"/>
                <w:lang w:bidi="ar"/>
              </w:rPr>
            </w:pP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9</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《学记》语录木雕牌</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1.4</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19</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Cs w:val="21"/>
                <w:lang w:bidi="ar"/>
              </w:rPr>
            </w:pP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10</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胡瑗及胡瑗教学思想板块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11.6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1.2</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13.92</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平方</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Cs w:val="21"/>
                <w:lang w:bidi="ar"/>
              </w:rPr>
            </w:pP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11</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考场纪律板块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4.9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1.6</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7.84</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平方</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Cs w:val="21"/>
                <w:lang w:bidi="ar"/>
              </w:rPr>
            </w:pP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12</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索引墙水晶字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Cs w:val="21"/>
                <w:lang w:bidi="ar"/>
              </w:rPr>
            </w:pP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13</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教师教育实训中心简介墙面</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1.4</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5.04</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平方</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Cs w:val="21"/>
                <w:lang w:bidi="ar"/>
              </w:rPr>
            </w:pP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14</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steam实物介绍展板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0.9</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6</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Cs w:val="21"/>
                <w:lang w:bidi="ar"/>
              </w:rPr>
            </w:pP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15</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教室门口展板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0.7</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Cs w:val="21"/>
                <w:lang w:bidi="ar"/>
              </w:rPr>
            </w:pPr>
          </w:p>
        </w:tc>
      </w:tr>
      <w:tr>
        <w:tblPrEx>
          <w:tblCellMar>
            <w:top w:w="0" w:type="dxa"/>
            <w:left w:w="0" w:type="dxa"/>
            <w:bottom w:w="0" w:type="dxa"/>
            <w:right w:w="0" w:type="dxa"/>
          </w:tblCellMar>
        </w:tblPrEx>
        <w:trPr>
          <w:trHeight w:val="440" w:hRule="atLeast"/>
          <w:jc w:val="center"/>
        </w:trPr>
        <w:tc>
          <w:tcPr>
            <w:tcW w:w="8830" w:type="dxa"/>
            <w:gridSpan w:val="10"/>
            <w:tcBorders>
              <w:top w:val="single" w:color="000000" w:sz="4" w:space="0"/>
              <w:left w:val="single" w:color="000000" w:sz="4" w:space="0"/>
              <w:bottom w:val="single" w:color="000000" w:sz="4" w:space="0"/>
              <w:right w:val="single" w:color="000000" w:sz="4" w:space="0"/>
            </w:tcBorders>
            <w:shd w:val="clear" w:color="auto" w:fill="E7E6E6"/>
            <w:noWrap/>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五楼</w:t>
            </w: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16</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索引墙（电梯旁）水晶字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1.7</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Cs w:val="21"/>
              </w:rPr>
            </w:pP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17</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教师照片灯箱</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1.5</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6</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平方</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Cs w:val="21"/>
                <w:lang w:bidi="ar"/>
              </w:rPr>
            </w:pP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18</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名人名言墙面</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5.78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1.24</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7.16</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平方</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Cs w:val="21"/>
                <w:lang w:bidi="ar"/>
              </w:rPr>
            </w:pP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19</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百年历程墙面</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6.3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2.3</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14.5</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平方</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Cs w:val="21"/>
                <w:lang w:bidi="ar"/>
              </w:rPr>
            </w:pP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20</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浙江师范教育发展长廊</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1.2</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30</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平方</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Cs w:val="21"/>
                <w:lang w:bidi="ar"/>
              </w:rPr>
            </w:pP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21</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中外师范教育发展长廊</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1.2</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36</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平方</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Cs w:val="21"/>
                <w:lang w:bidi="ar"/>
              </w:rPr>
            </w:pP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22</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名人馆教育名家水晶字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0.44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1.2</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Cs w:val="21"/>
                <w:lang w:bidi="ar"/>
              </w:rPr>
            </w:pP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23</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教育名家展板框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0.45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1.2</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12</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Cs w:val="21"/>
                <w:lang w:bidi="ar"/>
              </w:rPr>
            </w:pP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24</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教师名家展板架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120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200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Cs w:val="21"/>
                <w:lang w:bidi="ar"/>
              </w:rPr>
            </w:pP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25</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数字微格实验室简介墙面</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1.4</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5.04</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平方</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Cs w:val="21"/>
                <w:lang w:bidi="ar"/>
              </w:rPr>
            </w:pP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26</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教室门口展板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0.7</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6</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Cs w:val="21"/>
                <w:lang w:bidi="ar"/>
              </w:rPr>
            </w:pP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27</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索引墙水晶字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Cs w:val="21"/>
                <w:lang w:bidi="ar"/>
              </w:rPr>
            </w:pP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28</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教师教育实训中心LOGO水晶字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0.35</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7</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Cs w:val="21"/>
                <w:lang w:bidi="ar"/>
              </w:rPr>
            </w:pP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29</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楼梯口导视牌</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0.8</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6</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Cs w:val="21"/>
                <w:lang w:bidi="ar"/>
              </w:rPr>
            </w:pPr>
          </w:p>
        </w:tc>
      </w:tr>
      <w:tr>
        <w:tblPrEx>
          <w:tblCellMar>
            <w:top w:w="0" w:type="dxa"/>
            <w:left w:w="0" w:type="dxa"/>
            <w:bottom w:w="0" w:type="dxa"/>
            <w:right w:w="0" w:type="dxa"/>
          </w:tblCellMar>
        </w:tblPrEx>
        <w:trPr>
          <w:trHeight w:val="440" w:hRule="atLeast"/>
          <w:jc w:val="center"/>
        </w:trPr>
        <w:tc>
          <w:tcPr>
            <w:tcW w:w="8830" w:type="dxa"/>
            <w:gridSpan w:val="10"/>
            <w:tcBorders>
              <w:top w:val="single" w:color="000000" w:sz="4" w:space="0"/>
              <w:left w:val="single" w:color="000000" w:sz="4" w:space="0"/>
              <w:bottom w:val="single" w:color="000000" w:sz="4" w:space="0"/>
              <w:right w:val="single" w:color="000000" w:sz="4" w:space="0"/>
            </w:tcBorders>
            <w:shd w:val="clear" w:color="auto" w:fill="E7E6E6"/>
            <w:noWrap/>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六楼</w:t>
            </w: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30</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超星尔雅通识课平台及应用介绍展板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0.9</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Cs w:val="21"/>
                <w:lang w:bidi="ar"/>
              </w:rPr>
            </w:pP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31</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仿宋"/>
                <w:color w:val="auto"/>
                <w:szCs w:val="21"/>
              </w:rPr>
            </w:pPr>
            <w:r>
              <w:rPr>
                <w:rFonts w:hint="eastAsia" w:ascii="仿宋" w:hAnsi="仿宋" w:eastAsia="仿宋" w:cs="仿宋"/>
                <w:color w:val="auto"/>
                <w:kern w:val="0"/>
                <w:szCs w:val="21"/>
                <w:lang w:bidi="ar"/>
              </w:rPr>
              <w:t>我校历年来“互联网+”大学生创新创业大赛获奖成果介绍</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0.9</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7</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Cs w:val="21"/>
                <w:lang w:bidi="ar"/>
              </w:rPr>
            </w:pP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32</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仿宋"/>
                <w:color w:val="auto"/>
                <w:szCs w:val="21"/>
              </w:rPr>
            </w:pPr>
            <w:r>
              <w:rPr>
                <w:rFonts w:hint="eastAsia" w:ascii="仿宋" w:hAnsi="仿宋" w:eastAsia="仿宋" w:cs="仿宋"/>
                <w:color w:val="auto"/>
                <w:kern w:val="0"/>
                <w:szCs w:val="21"/>
                <w:lang w:bidi="ar"/>
              </w:rPr>
              <w:t>教师教育实训中心网络教学平台建设成果介绍</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0.9</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Cs w:val="21"/>
                <w:lang w:bidi="ar"/>
              </w:rPr>
            </w:pP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33</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仿宋"/>
                <w:color w:val="auto"/>
                <w:szCs w:val="21"/>
              </w:rPr>
            </w:pPr>
            <w:r>
              <w:rPr>
                <w:rFonts w:hint="eastAsia" w:ascii="仿宋" w:hAnsi="仿宋" w:eastAsia="仿宋" w:cs="仿宋"/>
                <w:color w:val="auto"/>
                <w:kern w:val="0"/>
                <w:szCs w:val="21"/>
                <w:lang w:bidi="ar"/>
              </w:rPr>
              <w:t>2019我校获评浙江省本科院校“互联网+教学”优秀案例（线上线下混合课程）介绍</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0.9</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8</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Cs w:val="21"/>
                <w:lang w:bidi="ar"/>
              </w:rPr>
            </w:pP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34</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教学技能考核教室门口展板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0.7</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Cs w:val="21"/>
                <w:lang w:bidi="ar"/>
              </w:rPr>
            </w:pPr>
          </w:p>
        </w:tc>
      </w:tr>
      <w:tr>
        <w:tblPrEx>
          <w:tblCellMar>
            <w:top w:w="0" w:type="dxa"/>
            <w:left w:w="0" w:type="dxa"/>
            <w:bottom w:w="0" w:type="dxa"/>
            <w:right w:w="0" w:type="dxa"/>
          </w:tblCellMar>
        </w:tblPrEx>
        <w:trPr>
          <w:trHeight w:val="440" w:hRule="atLeast"/>
          <w:jc w:val="center"/>
        </w:trPr>
        <w:tc>
          <w:tcPr>
            <w:tcW w:w="8830" w:type="dxa"/>
            <w:gridSpan w:val="10"/>
            <w:tcBorders>
              <w:top w:val="single" w:color="000000" w:sz="4" w:space="0"/>
              <w:left w:val="single" w:color="000000" w:sz="4" w:space="0"/>
              <w:bottom w:val="single" w:color="000000" w:sz="4" w:space="0"/>
              <w:right w:val="single" w:color="000000" w:sz="4" w:space="0"/>
            </w:tcBorders>
            <w:shd w:val="clear" w:color="auto" w:fill="E7E6E6"/>
            <w:noWrap/>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八楼</w:t>
            </w: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35</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教室门口展板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0.7</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Cs w:val="21"/>
                <w:lang w:bidi="ar"/>
              </w:rPr>
            </w:pPr>
          </w:p>
        </w:tc>
      </w:tr>
      <w:tr>
        <w:tblPrEx>
          <w:tblCellMar>
            <w:top w:w="0" w:type="dxa"/>
            <w:left w:w="0" w:type="dxa"/>
            <w:bottom w:w="0" w:type="dxa"/>
            <w:right w:w="0" w:type="dxa"/>
          </w:tblCellMar>
        </w:tblPrEx>
        <w:trPr>
          <w:trHeight w:val="440" w:hRule="atLeast"/>
          <w:jc w:val="center"/>
        </w:trPr>
        <w:tc>
          <w:tcPr>
            <w:tcW w:w="8830" w:type="dxa"/>
            <w:gridSpan w:val="10"/>
            <w:tcBorders>
              <w:top w:val="single" w:color="000000" w:sz="4" w:space="0"/>
              <w:left w:val="single" w:color="000000" w:sz="4" w:space="0"/>
              <w:bottom w:val="single" w:color="000000" w:sz="4" w:space="0"/>
              <w:right w:val="single" w:color="000000" w:sz="4" w:space="0"/>
            </w:tcBorders>
            <w:shd w:val="clear" w:color="auto" w:fill="E7E6E6"/>
            <w:noWrap/>
            <w:tcMar>
              <w:top w:w="15" w:type="dxa"/>
              <w:left w:w="15" w:type="dxa"/>
              <w:right w:w="15"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lang w:bidi="ar"/>
              </w:rPr>
              <w:t>楼梯井</w:t>
            </w: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36</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开启式挂画画框</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0.9</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60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Cs w:val="21"/>
                <w:lang w:bidi="ar"/>
              </w:rPr>
            </w:pP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37</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君子之风展板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0.45</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13</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Cs w:val="21"/>
                <w:lang w:bidi="ar"/>
              </w:rPr>
            </w:pPr>
          </w:p>
        </w:tc>
      </w:tr>
      <w:tr>
        <w:tblPrEx>
          <w:tblCellMar>
            <w:top w:w="0" w:type="dxa"/>
            <w:left w:w="0" w:type="dxa"/>
            <w:bottom w:w="0" w:type="dxa"/>
            <w:right w:w="0" w:type="dxa"/>
          </w:tblCellMar>
        </w:tblPrEx>
        <w:trPr>
          <w:trHeight w:val="4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38</w:t>
            </w:r>
          </w:p>
        </w:tc>
        <w:tc>
          <w:tcPr>
            <w:tcW w:w="3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写字黑板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0.45</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18</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kern w:val="0"/>
                <w:szCs w:val="21"/>
                <w:lang w:bidi="ar"/>
              </w:rPr>
            </w:pPr>
          </w:p>
        </w:tc>
      </w:tr>
      <w:tr>
        <w:tblPrEx>
          <w:tblCellMar>
            <w:top w:w="0" w:type="dxa"/>
            <w:left w:w="0" w:type="dxa"/>
            <w:bottom w:w="0" w:type="dxa"/>
            <w:right w:w="0" w:type="dxa"/>
          </w:tblCellMar>
        </w:tblPrEx>
        <w:trPr>
          <w:trHeight w:val="440" w:hRule="atLeast"/>
          <w:jc w:val="center"/>
        </w:trPr>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lang w:bidi="ar"/>
              </w:rPr>
              <w:t>合计</w:t>
            </w:r>
          </w:p>
        </w:tc>
        <w:tc>
          <w:tcPr>
            <w:tcW w:w="6340"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lang w:bidi="ar"/>
              </w:rPr>
              <w:t>大写：</w:t>
            </w:r>
            <w:r>
              <w:rPr>
                <w:rFonts w:hint="eastAsia" w:ascii="仿宋" w:hAnsi="仿宋" w:eastAsia="仿宋" w:cs="仿宋"/>
                <w:color w:val="auto"/>
                <w:kern w:val="0"/>
                <w:szCs w:val="21"/>
                <w:u w:val="single"/>
                <w:lang w:bidi="ar"/>
              </w:rPr>
              <w:t xml:space="preserve">        </w:t>
            </w:r>
            <w:r>
              <w:rPr>
                <w:rFonts w:hint="eastAsia" w:ascii="仿宋" w:hAnsi="仿宋" w:eastAsia="仿宋" w:cs="仿宋"/>
                <w:b/>
                <w:bCs/>
                <w:color w:val="auto"/>
                <w:kern w:val="0"/>
                <w:szCs w:val="21"/>
                <w:u w:val="single"/>
                <w:lang w:bidi="ar"/>
              </w:rPr>
              <w:t xml:space="preserve">  </w:t>
            </w:r>
            <w:r>
              <w:rPr>
                <w:rFonts w:hint="eastAsia" w:ascii="仿宋" w:hAnsi="仿宋" w:eastAsia="仿宋" w:cs="仿宋"/>
                <w:color w:val="auto"/>
                <w:kern w:val="0"/>
                <w:szCs w:val="21"/>
                <w:u w:val="single"/>
                <w:lang w:bidi="ar"/>
              </w:rPr>
              <w:t xml:space="preserve">                元整（¥    </w:t>
            </w:r>
            <w:r>
              <w:rPr>
                <w:rFonts w:hint="eastAsia" w:ascii="仿宋" w:hAnsi="仿宋" w:eastAsia="仿宋" w:cs="仿宋"/>
                <w:b/>
                <w:bCs/>
                <w:color w:val="auto"/>
                <w:kern w:val="0"/>
                <w:szCs w:val="21"/>
                <w:u w:val="single"/>
                <w:lang w:bidi="ar"/>
              </w:rPr>
              <w:t xml:space="preserve">   </w:t>
            </w:r>
            <w:r>
              <w:rPr>
                <w:rFonts w:hint="eastAsia" w:ascii="仿宋" w:hAnsi="仿宋" w:eastAsia="仿宋" w:cs="仿宋"/>
                <w:color w:val="auto"/>
                <w:kern w:val="0"/>
                <w:szCs w:val="21"/>
                <w:u w:val="single"/>
                <w:lang w:bidi="ar"/>
              </w:rPr>
              <w:t xml:space="preserve">    元）</w:t>
            </w:r>
          </w:p>
        </w:tc>
      </w:tr>
    </w:tbl>
    <w:p>
      <w:pPr>
        <w:jc w:val="left"/>
        <w:rPr>
          <w:rFonts w:ascii="仿宋" w:hAnsi="仿宋" w:eastAsia="仿宋"/>
          <w:b/>
          <w:color w:val="auto"/>
          <w:sz w:val="24"/>
          <w:szCs w:val="24"/>
        </w:rPr>
      </w:pPr>
    </w:p>
    <w:p>
      <w:pPr>
        <w:ind w:firstLine="482" w:firstLineChars="200"/>
        <w:rPr>
          <w:rFonts w:ascii="仿宋" w:hAnsi="仿宋" w:eastAsia="仿宋"/>
          <w:b/>
          <w:bCs/>
          <w:color w:val="auto"/>
          <w:sz w:val="24"/>
          <w:szCs w:val="24"/>
        </w:rPr>
      </w:pPr>
      <w:r>
        <w:rPr>
          <w:rFonts w:hint="eastAsia" w:ascii="仿宋" w:hAnsi="仿宋" w:eastAsia="仿宋"/>
          <w:b/>
          <w:bCs/>
          <w:color w:val="auto"/>
          <w:sz w:val="24"/>
          <w:szCs w:val="24"/>
        </w:rPr>
        <w:t>注：本项目报价包含税金、装订材料、运输、加工、装卸、安装等一切费用。如需勘察施工现场和咨询施工安装事宜，请提前联系郑老师：13967292625</w:t>
      </w:r>
    </w:p>
    <w:p>
      <w:pPr>
        <w:rPr>
          <w:rFonts w:ascii="仿宋" w:hAnsi="仿宋" w:eastAsia="仿宋"/>
          <w:color w:val="auto"/>
          <w:sz w:val="24"/>
        </w:rPr>
      </w:pPr>
    </w:p>
    <w:p>
      <w:pPr>
        <w:rPr>
          <w:rFonts w:ascii="仿宋" w:hAnsi="仿宋" w:eastAsia="仿宋"/>
          <w:color w:val="auto"/>
          <w:sz w:val="24"/>
        </w:rPr>
      </w:pPr>
      <w:r>
        <w:rPr>
          <w:rFonts w:hint="eastAsia" w:ascii="仿宋" w:hAnsi="仿宋" w:eastAsia="仿宋"/>
          <w:color w:val="auto"/>
          <w:sz w:val="24"/>
        </w:rPr>
        <w:t>授权代表签字：                      投标人（公章）：</w:t>
      </w:r>
    </w:p>
    <w:p>
      <w:pPr>
        <w:rPr>
          <w:rFonts w:ascii="仿宋" w:hAnsi="仿宋" w:eastAsia="仿宋"/>
          <w:color w:val="auto"/>
          <w:sz w:val="24"/>
        </w:rPr>
      </w:pPr>
      <w:r>
        <w:rPr>
          <w:rFonts w:hint="eastAsia" w:ascii="仿宋" w:hAnsi="仿宋" w:eastAsia="仿宋"/>
          <w:color w:val="auto"/>
          <w:sz w:val="24"/>
        </w:rPr>
        <w:t>日期：</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99622"/>
    </w:sdtPr>
    <w:sdtContent>
      <w:p>
        <w:pPr>
          <w:pStyle w:val="7"/>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F79C6"/>
    <w:rsid w:val="0000101B"/>
    <w:rsid w:val="0000344B"/>
    <w:rsid w:val="00037BFF"/>
    <w:rsid w:val="00040727"/>
    <w:rsid w:val="00062004"/>
    <w:rsid w:val="00080227"/>
    <w:rsid w:val="00096D9C"/>
    <w:rsid w:val="000C1608"/>
    <w:rsid w:val="000D2EC4"/>
    <w:rsid w:val="000F2CC8"/>
    <w:rsid w:val="00103F96"/>
    <w:rsid w:val="00135363"/>
    <w:rsid w:val="0014339F"/>
    <w:rsid w:val="00172FD3"/>
    <w:rsid w:val="001929ED"/>
    <w:rsid w:val="00193521"/>
    <w:rsid w:val="001B1358"/>
    <w:rsid w:val="001E1EC2"/>
    <w:rsid w:val="001E501C"/>
    <w:rsid w:val="002054BA"/>
    <w:rsid w:val="00217F50"/>
    <w:rsid w:val="00224EAF"/>
    <w:rsid w:val="002324DE"/>
    <w:rsid w:val="00247196"/>
    <w:rsid w:val="00261301"/>
    <w:rsid w:val="002673A6"/>
    <w:rsid w:val="002757BC"/>
    <w:rsid w:val="00290625"/>
    <w:rsid w:val="002A0EDF"/>
    <w:rsid w:val="002C07FB"/>
    <w:rsid w:val="002D68AB"/>
    <w:rsid w:val="002F51B7"/>
    <w:rsid w:val="00301360"/>
    <w:rsid w:val="00305B39"/>
    <w:rsid w:val="00333C6F"/>
    <w:rsid w:val="00336305"/>
    <w:rsid w:val="00342473"/>
    <w:rsid w:val="003516C4"/>
    <w:rsid w:val="0035464D"/>
    <w:rsid w:val="0036356D"/>
    <w:rsid w:val="003871A6"/>
    <w:rsid w:val="003926C0"/>
    <w:rsid w:val="003D07E1"/>
    <w:rsid w:val="00415441"/>
    <w:rsid w:val="0041574A"/>
    <w:rsid w:val="0041651E"/>
    <w:rsid w:val="00456277"/>
    <w:rsid w:val="00456483"/>
    <w:rsid w:val="00463B0D"/>
    <w:rsid w:val="00464417"/>
    <w:rsid w:val="00464E45"/>
    <w:rsid w:val="004743A6"/>
    <w:rsid w:val="004771E6"/>
    <w:rsid w:val="004872D8"/>
    <w:rsid w:val="004916EC"/>
    <w:rsid w:val="004924C9"/>
    <w:rsid w:val="004B117E"/>
    <w:rsid w:val="00514CBE"/>
    <w:rsid w:val="005178C9"/>
    <w:rsid w:val="00552964"/>
    <w:rsid w:val="00554C3B"/>
    <w:rsid w:val="0056747D"/>
    <w:rsid w:val="00572531"/>
    <w:rsid w:val="00575467"/>
    <w:rsid w:val="0058369B"/>
    <w:rsid w:val="00596AD4"/>
    <w:rsid w:val="005A4071"/>
    <w:rsid w:val="005A604D"/>
    <w:rsid w:val="005B3C0F"/>
    <w:rsid w:val="005F79C6"/>
    <w:rsid w:val="006110C9"/>
    <w:rsid w:val="00617688"/>
    <w:rsid w:val="00636972"/>
    <w:rsid w:val="00652254"/>
    <w:rsid w:val="006737AA"/>
    <w:rsid w:val="006868AF"/>
    <w:rsid w:val="00695F1F"/>
    <w:rsid w:val="006A2FA1"/>
    <w:rsid w:val="006C00D3"/>
    <w:rsid w:val="006F4161"/>
    <w:rsid w:val="006F563E"/>
    <w:rsid w:val="00724DE3"/>
    <w:rsid w:val="007333DD"/>
    <w:rsid w:val="0074168C"/>
    <w:rsid w:val="007801DC"/>
    <w:rsid w:val="00785D8C"/>
    <w:rsid w:val="007B069C"/>
    <w:rsid w:val="007C3B0B"/>
    <w:rsid w:val="007D744C"/>
    <w:rsid w:val="007F1635"/>
    <w:rsid w:val="007F3AE6"/>
    <w:rsid w:val="007F44A6"/>
    <w:rsid w:val="008021A0"/>
    <w:rsid w:val="00802FD7"/>
    <w:rsid w:val="008171CB"/>
    <w:rsid w:val="0082075E"/>
    <w:rsid w:val="00832D44"/>
    <w:rsid w:val="00842E99"/>
    <w:rsid w:val="00860F48"/>
    <w:rsid w:val="00865555"/>
    <w:rsid w:val="00884B9C"/>
    <w:rsid w:val="00886E6D"/>
    <w:rsid w:val="00891B5F"/>
    <w:rsid w:val="008D614F"/>
    <w:rsid w:val="008E7BA2"/>
    <w:rsid w:val="008F7ACA"/>
    <w:rsid w:val="009037BD"/>
    <w:rsid w:val="00906033"/>
    <w:rsid w:val="00935F25"/>
    <w:rsid w:val="009511B6"/>
    <w:rsid w:val="009653C3"/>
    <w:rsid w:val="00967075"/>
    <w:rsid w:val="00973234"/>
    <w:rsid w:val="00973402"/>
    <w:rsid w:val="00984C7E"/>
    <w:rsid w:val="009859CA"/>
    <w:rsid w:val="009A10B8"/>
    <w:rsid w:val="009A3BA5"/>
    <w:rsid w:val="009D38F7"/>
    <w:rsid w:val="009E4F41"/>
    <w:rsid w:val="009F25FD"/>
    <w:rsid w:val="00A03183"/>
    <w:rsid w:val="00A04891"/>
    <w:rsid w:val="00A214FF"/>
    <w:rsid w:val="00A277B4"/>
    <w:rsid w:val="00A505B1"/>
    <w:rsid w:val="00A55EE2"/>
    <w:rsid w:val="00AA5DBD"/>
    <w:rsid w:val="00AC32A8"/>
    <w:rsid w:val="00AC6DDF"/>
    <w:rsid w:val="00B1176F"/>
    <w:rsid w:val="00B15E3D"/>
    <w:rsid w:val="00B2132D"/>
    <w:rsid w:val="00B2222E"/>
    <w:rsid w:val="00B40088"/>
    <w:rsid w:val="00B43ED9"/>
    <w:rsid w:val="00B45A2C"/>
    <w:rsid w:val="00B53643"/>
    <w:rsid w:val="00B63316"/>
    <w:rsid w:val="00B76176"/>
    <w:rsid w:val="00B768FA"/>
    <w:rsid w:val="00B96CF8"/>
    <w:rsid w:val="00BA4DF7"/>
    <w:rsid w:val="00BA7478"/>
    <w:rsid w:val="00BF5CFA"/>
    <w:rsid w:val="00C043C9"/>
    <w:rsid w:val="00C27D1F"/>
    <w:rsid w:val="00C32334"/>
    <w:rsid w:val="00C439F6"/>
    <w:rsid w:val="00C44089"/>
    <w:rsid w:val="00C820D6"/>
    <w:rsid w:val="00C84FC9"/>
    <w:rsid w:val="00C86509"/>
    <w:rsid w:val="00C87E44"/>
    <w:rsid w:val="00C90129"/>
    <w:rsid w:val="00C94C3D"/>
    <w:rsid w:val="00CB4269"/>
    <w:rsid w:val="00CE5C69"/>
    <w:rsid w:val="00D06C3E"/>
    <w:rsid w:val="00D2616D"/>
    <w:rsid w:val="00D560F0"/>
    <w:rsid w:val="00D624D3"/>
    <w:rsid w:val="00DB0E25"/>
    <w:rsid w:val="00DB3D67"/>
    <w:rsid w:val="00DC0E93"/>
    <w:rsid w:val="00DC353D"/>
    <w:rsid w:val="00DC72EF"/>
    <w:rsid w:val="00E03991"/>
    <w:rsid w:val="00E227E8"/>
    <w:rsid w:val="00E36A24"/>
    <w:rsid w:val="00E42A4F"/>
    <w:rsid w:val="00E44115"/>
    <w:rsid w:val="00E52A29"/>
    <w:rsid w:val="00E809A5"/>
    <w:rsid w:val="00F1571F"/>
    <w:rsid w:val="00F21ACF"/>
    <w:rsid w:val="00F23E21"/>
    <w:rsid w:val="00F46313"/>
    <w:rsid w:val="00F51BDB"/>
    <w:rsid w:val="00F62BA7"/>
    <w:rsid w:val="00F732A0"/>
    <w:rsid w:val="00F83FDC"/>
    <w:rsid w:val="00FA7F94"/>
    <w:rsid w:val="00FB70B7"/>
    <w:rsid w:val="00FC04CE"/>
    <w:rsid w:val="00FD1408"/>
    <w:rsid w:val="00FE190A"/>
    <w:rsid w:val="00FF1BCE"/>
    <w:rsid w:val="00FF5869"/>
    <w:rsid w:val="029F0788"/>
    <w:rsid w:val="0DF12A0C"/>
    <w:rsid w:val="11D75D61"/>
    <w:rsid w:val="18462C05"/>
    <w:rsid w:val="1AA22356"/>
    <w:rsid w:val="1E817C6E"/>
    <w:rsid w:val="261E5BD6"/>
    <w:rsid w:val="26E85221"/>
    <w:rsid w:val="27354CEB"/>
    <w:rsid w:val="321F73AA"/>
    <w:rsid w:val="32274E71"/>
    <w:rsid w:val="38806F68"/>
    <w:rsid w:val="406F0267"/>
    <w:rsid w:val="41AC0A71"/>
    <w:rsid w:val="45147ED2"/>
    <w:rsid w:val="46FA36AF"/>
    <w:rsid w:val="470D29FD"/>
    <w:rsid w:val="47446D99"/>
    <w:rsid w:val="491A430A"/>
    <w:rsid w:val="4CCE6F95"/>
    <w:rsid w:val="52F07B89"/>
    <w:rsid w:val="5A4D251F"/>
    <w:rsid w:val="631D016A"/>
    <w:rsid w:val="65D54FE0"/>
    <w:rsid w:val="6628674B"/>
    <w:rsid w:val="6678268C"/>
    <w:rsid w:val="6A75632C"/>
    <w:rsid w:val="73684614"/>
    <w:rsid w:val="7CC35CD0"/>
    <w:rsid w:val="7E49314C"/>
    <w:rsid w:val="7F030A79"/>
    <w:rsid w:val="7F745B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0"/>
    <w:pPr>
      <w:spacing w:after="120"/>
    </w:pPr>
    <w:rPr>
      <w:rFonts w:ascii="宋体" w:hAnsi="宋体"/>
      <w:sz w:val="28"/>
      <w:szCs w:val="24"/>
    </w:rPr>
  </w:style>
  <w:style w:type="paragraph" w:styleId="3">
    <w:name w:val="Plain Text"/>
    <w:basedOn w:val="1"/>
    <w:link w:val="18"/>
    <w:qFormat/>
    <w:uiPriority w:val="0"/>
    <w:pPr>
      <w:spacing w:beforeLines="50" w:afterLines="50" w:line="400" w:lineRule="atLeast"/>
    </w:pPr>
    <w:rPr>
      <w:rFonts w:ascii="宋体" w:hAnsi="Courier New"/>
      <w:sz w:val="24"/>
      <w:szCs w:val="24"/>
    </w:rPr>
  </w:style>
  <w:style w:type="paragraph" w:styleId="4">
    <w:name w:val="Date"/>
    <w:basedOn w:val="1"/>
    <w:next w:val="1"/>
    <w:link w:val="16"/>
    <w:semiHidden/>
    <w:unhideWhenUsed/>
    <w:qFormat/>
    <w:uiPriority w:val="99"/>
    <w:pPr>
      <w:ind w:left="100" w:leftChars="2500"/>
    </w:pPr>
  </w:style>
  <w:style w:type="paragraph" w:styleId="5">
    <w:name w:val="Body Text Indent 2"/>
    <w:basedOn w:val="1"/>
    <w:link w:val="11"/>
    <w:qFormat/>
    <w:uiPriority w:val="0"/>
    <w:pPr>
      <w:spacing w:after="120" w:line="480" w:lineRule="auto"/>
      <w:ind w:left="420" w:leftChars="200"/>
    </w:pPr>
    <w:rPr>
      <w:rFonts w:ascii="Times New Roman" w:hAnsi="Times New Roman" w:eastAsia="宋体" w:cs="Times New Roman"/>
      <w:sz w:val="28"/>
      <w:szCs w:val="24"/>
    </w:rPr>
  </w:style>
  <w:style w:type="paragraph" w:styleId="6">
    <w:name w:val="Balloon Text"/>
    <w:basedOn w:val="1"/>
    <w:link w:val="23"/>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正文文本缩进 2 字符"/>
    <w:basedOn w:val="10"/>
    <w:link w:val="5"/>
    <w:qFormat/>
    <w:uiPriority w:val="0"/>
    <w:rPr>
      <w:rFonts w:ascii="Times New Roman" w:hAnsi="Times New Roman" w:eastAsia="宋体" w:cs="Times New Roman"/>
      <w:sz w:val="28"/>
      <w:szCs w:val="24"/>
    </w:rPr>
  </w:style>
  <w:style w:type="paragraph" w:styleId="12">
    <w:name w:val="List Paragraph"/>
    <w:basedOn w:val="1"/>
    <w:qFormat/>
    <w:uiPriority w:val="1"/>
    <w:pPr>
      <w:ind w:firstLine="420" w:firstLineChars="200"/>
    </w:pPr>
  </w:style>
  <w:style w:type="paragraph" w:customStyle="1" w:styleId="13">
    <w:name w:val="Char1 Char Char Char"/>
    <w:basedOn w:val="1"/>
    <w:qFormat/>
    <w:uiPriority w:val="0"/>
    <w:pPr>
      <w:widowControl/>
      <w:snapToGrid w:val="0"/>
      <w:spacing w:before="120" w:after="160" w:line="360" w:lineRule="auto"/>
      <w:ind w:right="-360"/>
      <w:jc w:val="left"/>
    </w:pPr>
    <w:rPr>
      <w:rFonts w:ascii="仿宋_GB2312" w:hAnsi="Arial" w:eastAsia="仿宋_GB2312" w:cs="Times New Roman"/>
      <w:kern w:val="0"/>
      <w:sz w:val="24"/>
      <w:szCs w:val="24"/>
      <w:lang w:eastAsia="en-US"/>
    </w:rPr>
  </w:style>
  <w:style w:type="character" w:customStyle="1" w:styleId="14">
    <w:name w:val="页眉 字符"/>
    <w:basedOn w:val="10"/>
    <w:link w:val="8"/>
    <w:qFormat/>
    <w:uiPriority w:val="99"/>
    <w:rPr>
      <w:sz w:val="18"/>
      <w:szCs w:val="18"/>
    </w:rPr>
  </w:style>
  <w:style w:type="character" w:customStyle="1" w:styleId="15">
    <w:name w:val="页脚 字符"/>
    <w:basedOn w:val="10"/>
    <w:link w:val="7"/>
    <w:qFormat/>
    <w:uiPriority w:val="99"/>
    <w:rPr>
      <w:sz w:val="18"/>
      <w:szCs w:val="18"/>
    </w:rPr>
  </w:style>
  <w:style w:type="character" w:customStyle="1" w:styleId="16">
    <w:name w:val="日期 字符"/>
    <w:basedOn w:val="10"/>
    <w:link w:val="4"/>
    <w:semiHidden/>
    <w:qFormat/>
    <w:uiPriority w:val="99"/>
  </w:style>
  <w:style w:type="character" w:customStyle="1" w:styleId="17">
    <w:name w:val="纯文本 Char"/>
    <w:basedOn w:val="10"/>
    <w:qFormat/>
    <w:uiPriority w:val="0"/>
    <w:rPr>
      <w:rFonts w:ascii="宋体" w:hAnsi="Courier New"/>
      <w:sz w:val="24"/>
      <w:szCs w:val="24"/>
    </w:rPr>
  </w:style>
  <w:style w:type="character" w:customStyle="1" w:styleId="18">
    <w:name w:val="纯文本 字符"/>
    <w:basedOn w:val="10"/>
    <w:link w:val="3"/>
    <w:semiHidden/>
    <w:qFormat/>
    <w:uiPriority w:val="99"/>
    <w:rPr>
      <w:rFonts w:ascii="宋体" w:hAnsi="Courier New" w:eastAsia="宋体" w:cs="Courier New"/>
      <w:szCs w:val="21"/>
    </w:rPr>
  </w:style>
  <w:style w:type="paragraph" w:customStyle="1" w:styleId="19">
    <w:name w:val="标准文本"/>
    <w:basedOn w:val="1"/>
    <w:qFormat/>
    <w:uiPriority w:val="0"/>
    <w:pPr>
      <w:widowControl/>
      <w:spacing w:line="360" w:lineRule="auto"/>
      <w:ind w:firstLine="200" w:firstLineChars="200"/>
      <w:jc w:val="left"/>
    </w:pPr>
    <w:rPr>
      <w:rFonts w:ascii="Times New Roman" w:hAnsi="Times New Roman" w:eastAsia="Times New Roman" w:cs="Times New Roman"/>
      <w:kern w:val="0"/>
      <w:szCs w:val="20"/>
      <w:lang w:val="zh-CN"/>
    </w:rPr>
  </w:style>
  <w:style w:type="character" w:customStyle="1" w:styleId="20">
    <w:name w:val="正文文本 Char"/>
    <w:qFormat/>
    <w:uiPriority w:val="0"/>
    <w:rPr>
      <w:rFonts w:ascii="宋体" w:hAnsi="宋体"/>
      <w:sz w:val="28"/>
      <w:szCs w:val="24"/>
    </w:rPr>
  </w:style>
  <w:style w:type="character" w:customStyle="1" w:styleId="21">
    <w:name w:val="正文文本 字符"/>
    <w:basedOn w:val="10"/>
    <w:link w:val="2"/>
    <w:semiHidden/>
    <w:qFormat/>
    <w:uiPriority w:val="99"/>
  </w:style>
  <w:style w:type="paragraph" w:customStyle="1" w:styleId="22">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23">
    <w:name w:val="批注框文本 字符"/>
    <w:basedOn w:val="10"/>
    <w:link w:val="6"/>
    <w:semiHidden/>
    <w:qFormat/>
    <w:uiPriority w:val="99"/>
    <w:rPr>
      <w:kern w:val="2"/>
      <w:sz w:val="18"/>
      <w:szCs w:val="18"/>
    </w:rPr>
  </w:style>
  <w:style w:type="character" w:customStyle="1" w:styleId="24">
    <w:name w:val="font61"/>
    <w:basedOn w:val="10"/>
    <w:qFormat/>
    <w:uiPriority w:val="0"/>
    <w:rPr>
      <w:rFonts w:hint="eastAsia" w:ascii="宋体" w:hAnsi="宋体" w:eastAsia="宋体" w:cs="宋体"/>
      <w:color w:val="000000"/>
      <w:sz w:val="22"/>
      <w:szCs w:val="22"/>
      <w:u w:val="none"/>
    </w:rPr>
  </w:style>
  <w:style w:type="character" w:customStyle="1" w:styleId="25">
    <w:name w:val="font51"/>
    <w:basedOn w:val="10"/>
    <w:qFormat/>
    <w:uiPriority w:val="0"/>
    <w:rPr>
      <w:rFonts w:ascii="华文细黑" w:hAnsi="华文细黑" w:eastAsia="华文细黑" w:cs="华文细黑"/>
      <w:color w:val="000000"/>
      <w:sz w:val="22"/>
      <w:szCs w:val="22"/>
      <w:u w:val="none"/>
    </w:rPr>
  </w:style>
  <w:style w:type="character" w:customStyle="1" w:styleId="26">
    <w:name w:val="font31"/>
    <w:basedOn w:val="10"/>
    <w:qFormat/>
    <w:uiPriority w:val="0"/>
    <w:rPr>
      <w:rFonts w:hint="eastAsia" w:ascii="微软雅黑" w:hAnsi="微软雅黑" w:eastAsia="微软雅黑" w:cs="微软雅黑"/>
      <w:b/>
      <w:color w:val="000000"/>
      <w:sz w:val="20"/>
      <w:szCs w:val="20"/>
      <w:u w:val="none"/>
    </w:rPr>
  </w:style>
  <w:style w:type="character" w:customStyle="1" w:styleId="27">
    <w:name w:val="font21"/>
    <w:basedOn w:val="10"/>
    <w:qFormat/>
    <w:uiPriority w:val="0"/>
    <w:rPr>
      <w:rFonts w:hint="eastAsia" w:ascii="宋体" w:hAnsi="宋体" w:eastAsia="宋体" w:cs="宋体"/>
      <w:b/>
      <w:color w:val="000000"/>
      <w:sz w:val="20"/>
      <w:szCs w:val="20"/>
      <w:u w:val="none"/>
    </w:rPr>
  </w:style>
  <w:style w:type="character" w:customStyle="1" w:styleId="28">
    <w:name w:val="font0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752</Words>
  <Characters>4287</Characters>
  <Lines>35</Lines>
  <Paragraphs>10</Paragraphs>
  <TotalTime>34</TotalTime>
  <ScaleCrop>false</ScaleCrop>
  <LinksUpToDate>false</LinksUpToDate>
  <CharactersWithSpaces>5029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2019-11-19T02:40:00Z</dcterms:created>
  <dc:creator>微软用户</dc:creator>
  <cp:lastModifiedBy>WPS_1527948739</cp:lastModifiedBy>
  <dcterms:modified xsi:type="dcterms:W3CDTF">2020-11-09T00:46:04Z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