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E9277">
      <w:pPr>
        <w:adjustRightInd w:val="0"/>
        <w:snapToGrid w:val="0"/>
        <w:jc w:val="center"/>
        <w:rPr>
          <w:rFonts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rPr>
        <w:t>湖州师范学院工学院智能制造专业机器人实训平台采购项目询价文件</w:t>
      </w:r>
    </w:p>
    <w:p w14:paraId="735A80CF">
      <w:pPr>
        <w:rPr>
          <w:rFonts w:ascii="仿宋" w:hAnsi="仿宋" w:eastAsia="仿宋" w:cs="仿宋_GB2312"/>
          <w:b/>
          <w:sz w:val="24"/>
        </w:rPr>
      </w:pPr>
    </w:p>
    <w:p w14:paraId="47211CC1">
      <w:pPr>
        <w:ind w:firstLine="472" w:firstLineChars="196"/>
        <w:rPr>
          <w:rFonts w:ascii="仿宋" w:hAnsi="仿宋" w:eastAsia="仿宋" w:cs="仿宋_GB2312"/>
          <w:b/>
          <w:sz w:val="24"/>
        </w:rPr>
      </w:pPr>
      <w:r>
        <w:rPr>
          <w:rFonts w:hint="eastAsia" w:ascii="仿宋" w:hAnsi="仿宋" w:eastAsia="仿宋" w:cs="仿宋_GB2312"/>
          <w:b/>
          <w:sz w:val="24"/>
        </w:rPr>
        <w:t>一、采购项目名称、采购清单及要求：</w:t>
      </w:r>
    </w:p>
    <w:p w14:paraId="39DACC39">
      <w:pPr>
        <w:ind w:firstLine="482" w:firstLineChars="200"/>
        <w:rPr>
          <w:rFonts w:ascii="仿宋" w:hAnsi="仿宋" w:eastAsia="仿宋" w:cs="宋体"/>
          <w:bCs/>
          <w:kern w:val="0"/>
          <w:sz w:val="24"/>
        </w:rPr>
      </w:pPr>
      <w:r>
        <w:rPr>
          <w:rFonts w:ascii="仿宋" w:hAnsi="仿宋" w:eastAsia="仿宋" w:cs="仿宋_GB2312"/>
          <w:b/>
          <w:sz w:val="24"/>
        </w:rPr>
        <w:t>1.</w:t>
      </w:r>
      <w:r>
        <w:rPr>
          <w:rFonts w:hint="eastAsia" w:ascii="仿宋" w:hAnsi="仿宋" w:eastAsia="仿宋" w:cs="仿宋_GB2312"/>
          <w:b/>
          <w:sz w:val="24"/>
        </w:rPr>
        <w:t>采购项目名称：</w:t>
      </w:r>
      <w:r>
        <w:rPr>
          <w:rFonts w:hint="eastAsia" w:ascii="仿宋" w:hAnsi="仿宋" w:eastAsia="仿宋" w:cs="仿宋_GB2312"/>
          <w:b w:val="0"/>
          <w:bCs/>
          <w:sz w:val="24"/>
        </w:rPr>
        <w:t>湖州师范学院智能制造专业机器人实训平台采购项目</w:t>
      </w:r>
    </w:p>
    <w:p w14:paraId="49813BF2">
      <w:pPr>
        <w:ind w:firstLine="482" w:firstLineChars="200"/>
        <w:rPr>
          <w:rFonts w:hint="default" w:ascii="仿宋" w:hAnsi="仿宋" w:eastAsia="仿宋" w:cs="仿宋_GB2312"/>
          <w:sz w:val="24"/>
          <w:lang w:val="en-US" w:eastAsia="zh-CN"/>
        </w:rPr>
      </w:pPr>
      <w:r>
        <w:rPr>
          <w:rFonts w:ascii="仿宋" w:hAnsi="仿宋" w:eastAsia="仿宋" w:cs="仿宋_GB2312"/>
          <w:b/>
          <w:sz w:val="24"/>
        </w:rPr>
        <w:t>2.</w:t>
      </w:r>
      <w:r>
        <w:rPr>
          <w:rFonts w:hint="eastAsia" w:ascii="仿宋" w:hAnsi="仿宋" w:eastAsia="仿宋" w:cs="仿宋_GB2312"/>
          <w:b/>
          <w:sz w:val="24"/>
        </w:rPr>
        <w:t>采购项目编号：</w:t>
      </w:r>
      <w:r>
        <w:rPr>
          <w:rFonts w:hint="eastAsia" w:ascii="仿宋" w:hAnsi="仿宋" w:eastAsia="仿宋" w:cs="仿宋_GB2312"/>
          <w:sz w:val="24"/>
        </w:rPr>
        <w:t>XZ2024-</w:t>
      </w:r>
      <w:r>
        <w:rPr>
          <w:rFonts w:hint="eastAsia" w:ascii="仿宋" w:hAnsi="仿宋" w:eastAsia="仿宋" w:cs="仿宋_GB2312"/>
          <w:sz w:val="24"/>
          <w:lang w:val="en-US" w:eastAsia="zh-CN"/>
        </w:rPr>
        <w:t>159</w:t>
      </w:r>
    </w:p>
    <w:p w14:paraId="4CC8335A">
      <w:pPr>
        <w:ind w:firstLine="482" w:firstLineChars="200"/>
        <w:rPr>
          <w:rFonts w:ascii="仿宋" w:hAnsi="仿宋" w:eastAsia="仿宋" w:cs="仿宋_GB2312"/>
          <w:sz w:val="24"/>
        </w:rPr>
      </w:pPr>
      <w:r>
        <w:rPr>
          <w:rFonts w:ascii="仿宋" w:hAnsi="仿宋" w:eastAsia="仿宋" w:cs="仿宋_GB2312"/>
          <w:b/>
          <w:sz w:val="24"/>
        </w:rPr>
        <w:t>3.</w:t>
      </w:r>
      <w:r>
        <w:rPr>
          <w:rFonts w:hint="eastAsia" w:ascii="仿宋" w:hAnsi="仿宋" w:eastAsia="仿宋" w:cs="仿宋_GB2312"/>
          <w:b/>
          <w:sz w:val="24"/>
        </w:rPr>
        <w:t>采购组织类型：</w:t>
      </w:r>
      <w:r>
        <w:rPr>
          <w:rFonts w:hint="eastAsia" w:ascii="仿宋" w:hAnsi="仿宋" w:eastAsia="仿宋" w:cs="仿宋_GB2312"/>
          <w:sz w:val="24"/>
        </w:rPr>
        <w:t>分散采购自行组织</w:t>
      </w:r>
    </w:p>
    <w:p w14:paraId="7418E01A">
      <w:pPr>
        <w:ind w:firstLine="482" w:firstLineChars="200"/>
        <w:rPr>
          <w:rFonts w:ascii="仿宋" w:hAnsi="仿宋" w:eastAsia="仿宋" w:cs="仿宋_GB2312"/>
          <w:sz w:val="24"/>
        </w:rPr>
      </w:pPr>
      <w:r>
        <w:rPr>
          <w:rFonts w:ascii="仿宋" w:hAnsi="仿宋" w:eastAsia="仿宋" w:cs="仿宋_GB2312"/>
          <w:b/>
          <w:sz w:val="24"/>
        </w:rPr>
        <w:t>4.</w:t>
      </w:r>
      <w:r>
        <w:rPr>
          <w:rFonts w:hint="eastAsia" w:ascii="仿宋" w:hAnsi="仿宋" w:eastAsia="仿宋" w:cs="仿宋_GB2312"/>
          <w:b/>
          <w:sz w:val="24"/>
        </w:rPr>
        <w:t>采购方式：</w:t>
      </w:r>
      <w:r>
        <w:rPr>
          <w:rFonts w:hint="eastAsia" w:ascii="仿宋" w:hAnsi="仿宋" w:eastAsia="仿宋" w:cs="仿宋_GB2312"/>
          <w:sz w:val="24"/>
        </w:rPr>
        <w:t>校内询价</w:t>
      </w:r>
    </w:p>
    <w:p w14:paraId="1B49F757">
      <w:pPr>
        <w:ind w:firstLine="482" w:firstLineChars="200"/>
        <w:rPr>
          <w:rFonts w:ascii="仿宋" w:hAnsi="仿宋" w:eastAsia="仿宋" w:cs="仿宋_GB2312"/>
          <w:b/>
          <w:sz w:val="24"/>
        </w:rPr>
      </w:pPr>
      <w:r>
        <w:rPr>
          <w:rFonts w:ascii="仿宋" w:hAnsi="仿宋" w:eastAsia="仿宋" w:cs="仿宋_GB2312"/>
          <w:b/>
          <w:sz w:val="24"/>
        </w:rPr>
        <w:t>5.</w:t>
      </w:r>
      <w:r>
        <w:rPr>
          <w:rFonts w:hint="eastAsia" w:ascii="仿宋" w:hAnsi="仿宋" w:eastAsia="仿宋" w:cs="仿宋_GB2312"/>
          <w:b/>
          <w:sz w:val="24"/>
        </w:rPr>
        <w:t>采购预算：</w:t>
      </w:r>
      <w:r>
        <w:rPr>
          <w:rFonts w:hint="eastAsia" w:ascii="仿宋" w:hAnsi="仿宋" w:eastAsia="仿宋" w:cs="仿宋"/>
          <w:color w:val="000000"/>
          <w:sz w:val="24"/>
          <w:shd w:val="clear" w:color="auto" w:fill="FFFFFF"/>
        </w:rPr>
        <w:t>人民币肆拾</w:t>
      </w:r>
      <w:r>
        <w:rPr>
          <w:rFonts w:hint="eastAsia" w:ascii="仿宋" w:hAnsi="仿宋" w:eastAsia="仿宋" w:cs="仿宋"/>
          <w:color w:val="000000"/>
          <w:sz w:val="24"/>
          <w:shd w:val="clear" w:color="auto" w:fill="FFFFFF"/>
          <w:lang w:val="en-US" w:eastAsia="zh-CN"/>
        </w:rPr>
        <w:t>玖</w:t>
      </w:r>
      <w:r>
        <w:rPr>
          <w:rFonts w:hint="eastAsia" w:ascii="仿宋" w:hAnsi="仿宋" w:eastAsia="仿宋" w:cs="仿宋"/>
          <w:color w:val="000000"/>
          <w:sz w:val="24"/>
          <w:shd w:val="clear" w:color="auto" w:fill="FFFFFF"/>
        </w:rPr>
        <w:t>万元整（￥4</w:t>
      </w:r>
      <w:r>
        <w:rPr>
          <w:rFonts w:hint="eastAsia" w:ascii="仿宋" w:hAnsi="仿宋" w:eastAsia="仿宋" w:cs="仿宋"/>
          <w:color w:val="000000"/>
          <w:sz w:val="24"/>
          <w:shd w:val="clear" w:color="auto" w:fill="FFFFFF"/>
          <w:lang w:val="en-US" w:eastAsia="zh-CN"/>
        </w:rPr>
        <w:t>9</w:t>
      </w:r>
      <w:r>
        <w:rPr>
          <w:rFonts w:hint="eastAsia" w:ascii="仿宋" w:hAnsi="仿宋" w:eastAsia="仿宋" w:cs="仿宋"/>
          <w:color w:val="000000"/>
          <w:sz w:val="24"/>
          <w:shd w:val="clear" w:color="auto" w:fill="FFFFFF"/>
        </w:rPr>
        <w:t>0000元）</w:t>
      </w:r>
    </w:p>
    <w:p w14:paraId="4495430B">
      <w:pPr>
        <w:ind w:firstLine="482" w:firstLineChars="200"/>
        <w:rPr>
          <w:rFonts w:ascii="仿宋" w:hAnsi="仿宋" w:eastAsia="仿宋" w:cs="仿宋_GB2312"/>
          <w:sz w:val="24"/>
        </w:rPr>
      </w:pPr>
      <w:r>
        <w:rPr>
          <w:rFonts w:ascii="仿宋" w:hAnsi="仿宋" w:eastAsia="仿宋" w:cs="仿宋_GB2312"/>
          <w:b/>
          <w:sz w:val="24"/>
        </w:rPr>
        <w:t>6.</w:t>
      </w:r>
      <w:r>
        <w:rPr>
          <w:rFonts w:hint="eastAsia" w:ascii="仿宋" w:hAnsi="仿宋" w:eastAsia="仿宋" w:cs="仿宋_GB2312"/>
          <w:b/>
          <w:sz w:val="24"/>
        </w:rPr>
        <w:t>采购清单</w:t>
      </w:r>
      <w:r>
        <w:rPr>
          <w:rFonts w:hint="eastAsia" w:ascii="仿宋" w:hAnsi="仿宋" w:eastAsia="仿宋" w:cs="仿宋_GB2312"/>
          <w:sz w:val="24"/>
        </w:rPr>
        <w:t>（包括货物名称、技术参数、数量、单位等）：</w:t>
      </w:r>
    </w:p>
    <w:tbl>
      <w:tblPr>
        <w:tblStyle w:val="10"/>
        <w:tblW w:w="9627" w:type="dxa"/>
        <w:tblInd w:w="93" w:type="dxa"/>
        <w:tblLayout w:type="autofit"/>
        <w:tblCellMar>
          <w:top w:w="0" w:type="dxa"/>
          <w:left w:w="108" w:type="dxa"/>
          <w:bottom w:w="0" w:type="dxa"/>
          <w:right w:w="108" w:type="dxa"/>
        </w:tblCellMar>
      </w:tblPr>
      <w:tblGrid>
        <w:gridCol w:w="604"/>
        <w:gridCol w:w="1763"/>
        <w:gridCol w:w="5819"/>
        <w:gridCol w:w="427"/>
        <w:gridCol w:w="507"/>
        <w:gridCol w:w="507"/>
      </w:tblGrid>
      <w:tr w14:paraId="0D58AEBE">
        <w:tblPrEx>
          <w:tblCellMar>
            <w:top w:w="0" w:type="dxa"/>
            <w:left w:w="108" w:type="dxa"/>
            <w:bottom w:w="0" w:type="dxa"/>
            <w:right w:w="108" w:type="dxa"/>
          </w:tblCellMar>
        </w:tblPrEx>
        <w:trPr>
          <w:trHeight w:val="9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42A5">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BBAD">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名称</w:t>
            </w:r>
          </w:p>
        </w:tc>
        <w:tc>
          <w:tcPr>
            <w:tcW w:w="5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A764">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规格型号或技术参数、工程清单、服务要求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4B5B">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单位</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A9D7">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数量</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DF8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备注</w:t>
            </w:r>
          </w:p>
        </w:tc>
      </w:tr>
      <w:tr w14:paraId="48278D32">
        <w:tblPrEx>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CA75">
            <w:pPr>
              <w:widowControl/>
              <w:jc w:val="center"/>
              <w:textAlignment w:val="center"/>
              <w:rPr>
                <w:rFonts w:ascii="仿宋" w:hAnsi="仿宋" w:eastAsia="仿宋" w:cs="仿宋"/>
                <w:b w:val="0"/>
                <w:bCs w:val="0"/>
                <w:szCs w:val="21"/>
              </w:rPr>
            </w:pPr>
            <w:r>
              <w:rPr>
                <w:rFonts w:hint="eastAsia" w:ascii="仿宋" w:hAnsi="仿宋" w:eastAsia="仿宋" w:cs="仿宋"/>
                <w:b w:val="0"/>
                <w:bCs w:val="0"/>
                <w:kern w:val="0"/>
                <w:szCs w:val="21"/>
                <w:lang w:bidi="ar"/>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1FA0">
            <w:pPr>
              <w:widowControl/>
              <w:jc w:val="center"/>
              <w:textAlignment w:val="center"/>
              <w:rPr>
                <w:rFonts w:ascii="仿宋" w:hAnsi="仿宋" w:eastAsia="仿宋" w:cs="仿宋"/>
                <w:b w:val="0"/>
                <w:bCs w:val="0"/>
                <w:szCs w:val="21"/>
              </w:rPr>
            </w:pPr>
            <w:r>
              <w:rPr>
                <w:rFonts w:hint="eastAsia" w:ascii="仿宋" w:hAnsi="仿宋" w:eastAsia="仿宋" w:cs="仿宋"/>
                <w:b w:val="0"/>
                <w:bCs w:val="0"/>
                <w:szCs w:val="21"/>
              </w:rPr>
              <w:t>机器人实训平台</w:t>
            </w:r>
          </w:p>
        </w:tc>
        <w:tc>
          <w:tcPr>
            <w:tcW w:w="5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C14BB">
            <w:pPr>
              <w:widowControl/>
              <w:ind w:firstLine="402"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bCs/>
                <w:kern w:val="0"/>
                <w:sz w:val="20"/>
                <w:szCs w:val="20"/>
                <w:lang w:bidi="ar"/>
              </w:rPr>
              <w:t>一、功能简介</w:t>
            </w:r>
          </w:p>
          <w:p w14:paraId="15666C68">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机器人实训台由铝型材桌体组成，配置防静电桌，便于机器人拆装课程开展。它以六自由度工业协作机器人为实训对象，可配置多种独立应用模块，本装置的每种实训模块均可以完成各自的实训教学内容，采用模块化可互换设计，支持在同一基台进行不同模块的搭载，进行不同课程的实验进行。</w:t>
            </w:r>
          </w:p>
          <w:p w14:paraId="44E8B3C4">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该工作台由六轴工业协作机器人、搬运码垛基础训练模块、输送机、触屏（上位机模块）以及末端工具模块、西门子PLC控制柜及其它附件组合搭建而成，各功能模块相对独立，可完成工业机器人示教编程再现、机器人基本操作、机器人基本维护、触摸屏界面设计、机械系统拆装与调试、电气系统连接与调试等基本实训功能，搭配有工业机器人通用编程软件，支持各种主流品牌(包含ABB、FANUC、KUKA、YASKAWA)的工业机器人的编程学习需求。</w:t>
            </w:r>
          </w:p>
          <w:p w14:paraId="77EC74DC">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该工业机器人控制系统还提供各类二次开发接口，以便使用者开展二次开发研究及学习工作。</w:t>
            </w:r>
          </w:p>
          <w:p w14:paraId="360E1D57">
            <w:pPr>
              <w:widowControl/>
              <w:ind w:firstLine="402"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bCs/>
                <w:kern w:val="0"/>
                <w:sz w:val="20"/>
                <w:szCs w:val="20"/>
                <w:lang w:bidi="ar"/>
              </w:rPr>
              <w:t>二、装置基本要求</w:t>
            </w:r>
          </w:p>
          <w:p w14:paraId="5E3A0F99">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 模块化开放式设计结构，≥2个功能模块，单个功能模块可独立应使用。</w:t>
            </w:r>
          </w:p>
          <w:p w14:paraId="00958E86">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2. 尺寸≥1200×800×1450mm（±10%），采用桌面式设计，铝合金配置钣金组成、配置可移动脚轮、带刹车。</w:t>
            </w:r>
          </w:p>
          <w:p w14:paraId="4A796913">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3. 输入电源：单相AC220V ±10% 50HZ；</w:t>
            </w:r>
          </w:p>
          <w:p w14:paraId="2752D67F">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4. 输入功率：≤2KW；</w:t>
            </w:r>
          </w:p>
          <w:p w14:paraId="1670AFBA">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5. 桌体设置嵌入式触摸屏模块及各功能按钮、指示灯（包含启动、停止、复位、急停等按钮及对应的指示灯），配外接网口用于扩展设备通讯。可以通过触摸屏、面板按钮等控制机器人回零，程序启动/停止、暂停/继续；触摸屏模块需汇集工作站所有IO信息，并可以在触摸屏显示状态，控制IO信号。</w:t>
            </w:r>
          </w:p>
          <w:p w14:paraId="1CFC6371">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6. 整体采用可互换模块化设计，功能模块可以通过按钮进行一键更换，模块的电路、气路瞬间导通，工作台整体为柔性设计，支持与多款配套的工作站进行组合，可以搭建出多条不同构型，不同功能的智能制造生产线。</w:t>
            </w:r>
          </w:p>
          <w:p w14:paraId="292CB7E7">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7. 实训模块采用统一定位底板，围绕机器人展开布置，采用销钉定位螺钉拧紧方式安装。</w:t>
            </w:r>
          </w:p>
          <w:p w14:paraId="0BCECAA9">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8. 设备涵盖步进电机、伺服电机、编码器等可以支持多种电机的运动控制及通讯训练、总线的编码器数据读取，以及以太网通讯等实验。</w:t>
            </w:r>
          </w:p>
          <w:p w14:paraId="244D0CE0">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9. 设备包含变位机模块，可以通过该模块进行物料的固定及装配及变位机调试；</w:t>
            </w:r>
          </w:p>
          <w:p w14:paraId="2F2D851C">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10. 至少包含RS485、Modbus、HDMI、USB、Ethernet、CAN、远程IO、状态IO、急停IO以及数字输入/输出，模拟量输入/输出等通讯接口≥8种，能满足与不同外部模块的通讯要求。</w:t>
            </w:r>
          </w:p>
          <w:p w14:paraId="68DD0578">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11. 设计独立电气模块，可用于常见的低压元器件原理认知及电气接线训练；</w:t>
            </w:r>
          </w:p>
          <w:p w14:paraId="435F90B1">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12. 配置机器人控制平板，可以进行机器人示教编程，运动控制、参数配置、IO控制。</w:t>
            </w:r>
          </w:p>
          <w:p w14:paraId="6FEDBF6F">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13. 至少包含5V、12V、24V的输出电源，能给不同外部模块的供电要求。</w:t>
            </w:r>
          </w:p>
          <w:p w14:paraId="2A74D7BC">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14. 机器人运动模式支持，点动、步进（指定角度或速度）、连续与运行。</w:t>
            </w:r>
          </w:p>
          <w:p w14:paraId="255BCDF6">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15. 具有虚实结合功能，可在虚拟仿真环境中对机器人进行编程控制，可实现虚实同步。</w:t>
            </w:r>
          </w:p>
          <w:p w14:paraId="2AC06D53">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16.支持机器人拆装调试，实现整机各关节拆装，了解机器人从元器件到电机到整机的构成及原理；</w:t>
            </w:r>
          </w:p>
          <w:p w14:paraId="4CDB9118">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17. 支持对拆装过后的机器人重新标定、校准。</w:t>
            </w:r>
          </w:p>
          <w:p w14:paraId="72388D8A">
            <w:pPr>
              <w:widowControl/>
              <w:ind w:firstLine="402" w:firstLineChars="200"/>
              <w:jc w:val="left"/>
              <w:textAlignment w:val="center"/>
              <w:rPr>
                <w:rFonts w:hint="eastAsia" w:ascii="仿宋" w:hAnsi="仿宋" w:eastAsia="仿宋" w:cs="仿宋"/>
                <w:b/>
                <w:bCs/>
                <w:kern w:val="0"/>
                <w:sz w:val="20"/>
                <w:szCs w:val="20"/>
                <w:lang w:bidi="ar"/>
              </w:rPr>
            </w:pPr>
            <w:r>
              <w:rPr>
                <w:rFonts w:hint="eastAsia" w:ascii="仿宋" w:hAnsi="仿宋" w:eastAsia="仿宋" w:cs="仿宋"/>
                <w:b/>
                <w:bCs/>
                <w:kern w:val="0"/>
                <w:sz w:val="20"/>
                <w:szCs w:val="20"/>
                <w:lang w:bidi="ar"/>
              </w:rPr>
              <w:t>三、六轴机器人（1套）</w:t>
            </w:r>
          </w:p>
          <w:p w14:paraId="7B3D258D">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 轴数：6</w:t>
            </w:r>
          </w:p>
          <w:p w14:paraId="029C7CA7">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2. 工作范围≥590mm±5%；</w:t>
            </w:r>
          </w:p>
          <w:p w14:paraId="087D2247">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3. 有效荷≥3kg；</w:t>
            </w:r>
          </w:p>
          <w:p w14:paraId="39437964">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4. 重复定位精度≤±0.03mm；</w:t>
            </w:r>
          </w:p>
          <w:p w14:paraId="36E97745">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5. 示教器：控制机器人运动，触摸显示屏≥7寸；</w:t>
            </w:r>
          </w:p>
          <w:p w14:paraId="431C2105">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6. 拖动示教：支持通过拖拽操作的方式编程。</w:t>
            </w:r>
          </w:p>
          <w:p w14:paraId="2A6F8C08">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7. 机器人运动模式支持，点动、步进（指定角度或速度）、连续与运行；</w:t>
            </w:r>
          </w:p>
          <w:p w14:paraId="16339555">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8. 安全性：配备必要的安全感应装置，确保在与其周边的人员或物体发生触碰时，机器人具有紧急停止的功能；</w:t>
            </w:r>
          </w:p>
          <w:p w14:paraId="0887DCE4">
            <w:pPr>
              <w:widowControl/>
              <w:ind w:firstLine="402" w:firstLineChars="200"/>
              <w:jc w:val="left"/>
              <w:textAlignment w:val="center"/>
              <w:rPr>
                <w:rFonts w:hint="eastAsia" w:ascii="仿宋" w:hAnsi="仿宋" w:eastAsia="仿宋" w:cs="仿宋"/>
                <w:b/>
                <w:bCs/>
                <w:kern w:val="0"/>
                <w:sz w:val="20"/>
                <w:szCs w:val="20"/>
                <w:lang w:bidi="ar"/>
              </w:rPr>
            </w:pPr>
            <w:r>
              <w:rPr>
                <w:rFonts w:hint="eastAsia" w:ascii="仿宋" w:hAnsi="仿宋" w:eastAsia="仿宋" w:cs="仿宋"/>
                <w:b/>
                <w:bCs/>
                <w:kern w:val="0"/>
                <w:sz w:val="20"/>
                <w:szCs w:val="20"/>
                <w:lang w:bidi="ar"/>
              </w:rPr>
              <w:t>四、机器人快换夹具（1套）</w:t>
            </w:r>
          </w:p>
          <w:p w14:paraId="64AD97AF">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 配套≥2种不同类型快换装置；</w:t>
            </w:r>
          </w:p>
          <w:p w14:paraId="46E5EECF">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2. 采用自动吸合式；</w:t>
            </w:r>
          </w:p>
          <w:p w14:paraId="7ABB4F26">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3. 具有≥2路气源，9路电源接口，可实现工业机器人自动快速更换；</w:t>
            </w:r>
          </w:p>
          <w:p w14:paraId="47D5BED0">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4. 含搬运3爪夹具、气动搬运夹具等；</w:t>
            </w:r>
          </w:p>
          <w:p w14:paraId="056D68DE">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5. 配套夹具放置位，具有放入识别，防错定位功能，可以防止人为的误放或错位放置；</w:t>
            </w:r>
          </w:p>
          <w:p w14:paraId="209E42E5">
            <w:pPr>
              <w:widowControl/>
              <w:ind w:firstLine="402"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bCs/>
                <w:kern w:val="0"/>
                <w:sz w:val="20"/>
                <w:szCs w:val="20"/>
                <w:lang w:bidi="ar"/>
              </w:rPr>
              <w:t>五、 电气控制系统（1套）</w:t>
            </w:r>
          </w:p>
          <w:p w14:paraId="397CFEB8">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 控制系统用于机器人周边设备的辅助控制，采用知名电气元件，高性能控制主机；</w:t>
            </w:r>
          </w:p>
          <w:p w14:paraId="22F567A7">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2. 采用PLC控制，具有PROFINET功能；</w:t>
            </w:r>
          </w:p>
          <w:p w14:paraId="78A4AF23">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3. 控制器型号：不低于S7-1200 1214C；</w:t>
            </w:r>
          </w:p>
          <w:p w14:paraId="46BF7164">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4. 配套人机界面：彩色、以太网通讯、屏幕≥10寸；</w:t>
            </w:r>
          </w:p>
          <w:p w14:paraId="14AC924E">
            <w:pPr>
              <w:widowControl/>
              <w:ind w:firstLine="402" w:firstLineChars="200"/>
              <w:jc w:val="left"/>
              <w:textAlignment w:val="center"/>
              <w:rPr>
                <w:rFonts w:hint="eastAsia" w:ascii="仿宋" w:hAnsi="仿宋" w:eastAsia="仿宋" w:cs="仿宋"/>
                <w:b/>
                <w:bCs/>
                <w:kern w:val="0"/>
                <w:sz w:val="20"/>
                <w:szCs w:val="20"/>
                <w:lang w:bidi="ar"/>
              </w:rPr>
            </w:pPr>
            <w:r>
              <w:rPr>
                <w:rFonts w:hint="eastAsia" w:ascii="仿宋" w:hAnsi="仿宋" w:eastAsia="仿宋" w:cs="仿宋"/>
                <w:b/>
                <w:bCs/>
                <w:kern w:val="0"/>
                <w:sz w:val="20"/>
                <w:szCs w:val="20"/>
                <w:lang w:bidi="ar"/>
              </w:rPr>
              <w:t>六、减速机装配模块（1套）</w:t>
            </w:r>
          </w:p>
          <w:p w14:paraId="40D8828E">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 由铝合金固定底板、减速机装配模块、、输送机装置等组成</w:t>
            </w:r>
          </w:p>
          <w:p w14:paraId="35AD3FF3">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2. 模块尺寸（长×宽×高）≤550×450×250mm（±10%）；</w:t>
            </w:r>
          </w:p>
          <w:p w14:paraId="615D3D19">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3. 工具快换种类≥2种，（至少包含双指、三指夹具），支持多种零件的抓取；</w:t>
            </w:r>
          </w:p>
          <w:p w14:paraId="469F46F3">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4. 装配物料≥4种，（至少包含钢轮模型、装配柔轮模型、波发生器模型、轴承等）；</w:t>
            </w:r>
          </w:p>
          <w:p w14:paraId="7057462B">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5. 机器人通过装配夹具通过传感器识别，进行变位机-减速机装配，并通过输送机运到存储位内的过程，实现工件的自动装配；</w:t>
            </w:r>
          </w:p>
          <w:p w14:paraId="01A8F3F0">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6. 模块与其它模块具有相同的定位装置，可实现快速更换安装；</w:t>
            </w:r>
          </w:p>
          <w:p w14:paraId="72089F3F">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7. 模块与其它模块具有相同的定位装置，可实现快速更换安装；</w:t>
            </w:r>
          </w:p>
          <w:p w14:paraId="4A30B3DF">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8. 设置供料模块，可以支持减速机的的柔轮、钢轮、波发生器等的供料。</w:t>
            </w:r>
          </w:p>
          <w:p w14:paraId="5A8CE1A0">
            <w:pPr>
              <w:widowControl/>
              <w:ind w:firstLine="402" w:firstLineChars="200"/>
              <w:jc w:val="left"/>
              <w:textAlignment w:val="center"/>
              <w:rPr>
                <w:rFonts w:hint="eastAsia" w:ascii="仿宋" w:hAnsi="仿宋" w:eastAsia="仿宋" w:cs="仿宋"/>
                <w:b/>
                <w:bCs/>
                <w:kern w:val="0"/>
                <w:sz w:val="20"/>
                <w:szCs w:val="20"/>
                <w:lang w:bidi="ar"/>
              </w:rPr>
            </w:pPr>
            <w:r>
              <w:rPr>
                <w:rFonts w:hint="eastAsia" w:ascii="仿宋" w:hAnsi="仿宋" w:eastAsia="仿宋" w:cs="仿宋"/>
                <w:b/>
                <w:bCs/>
                <w:kern w:val="0"/>
                <w:sz w:val="20"/>
                <w:szCs w:val="20"/>
                <w:lang w:bidi="ar"/>
              </w:rPr>
              <w:t>七、工业机器人通用编程软件（1套）</w:t>
            </w:r>
          </w:p>
          <w:p w14:paraId="78DCE545">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1.包含市场主流品牌工业机器人通用示教编程系统及语言，可进行示教编程的学习。</w:t>
            </w:r>
          </w:p>
          <w:p w14:paraId="2F2E1E20">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2. 一体化工业仿真平台，具有与真实环境一致的界面和功能，能在同一虚拟环境下进行装配仿真、方便脱机教学。</w:t>
            </w:r>
          </w:p>
          <w:p w14:paraId="1BD756CC">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3. 具备内嵌组件库，支持国内外知名品牌设备或机器人的参数化模型，工业机器人成熟动态模型，应包含工厂常见应用组件、各大品牌商的机器人、工装夹具和产线设备组件、自动化常用组件等，还提供大量的自动化常用组件，如：传送带，加工机床，龙门架，变位机，地轨，人机协作元素等。</w:t>
            </w:r>
          </w:p>
          <w:p w14:paraId="33165C7F">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4.可编程控制器虚拟仿真：支持多品牌PLC的信号接入，包含西门子、三菱、信捷等。基于现场总线技术、实现虚拟仿真与虚拟/真实PLC的数据传输，在虚拟环境中驱动孪生体完成任务作业。将仿真环境与现实世界控制系统连接起来，实现与PLC的数据交互；支持同种协议可同时添加多个设备同时进行连接；支持与MX Component进行数据交换；支持.xlsx、.csv两种格式导入PLC变量表。</w:t>
            </w:r>
          </w:p>
          <w:p w14:paraId="4C67E513">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5.软件具有机器视觉接口，可无缝对接常见的视觉算法平台，通过增加视觉识别，可实现基于工业机器人的物料分拣、随机位置物料精确抓取等功能，提供机器人二次开发工具，支持相应二次开发需求。</w:t>
            </w:r>
          </w:p>
          <w:p w14:paraId="5F8535AD">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6. 支持通过手动控制端，完成对虚拟环境中的机器人实现示教控制、程序编辑、参数修改等、IO控制、机器人实时状态三维仿真视图等功能。</w:t>
            </w:r>
          </w:p>
          <w:p w14:paraId="6C092C65">
            <w:pPr>
              <w:widowControl/>
              <w:ind w:firstLine="402" w:firstLineChars="200"/>
              <w:jc w:val="left"/>
              <w:textAlignment w:val="center"/>
              <w:rPr>
                <w:rFonts w:hint="eastAsia" w:ascii="仿宋" w:hAnsi="仿宋" w:eastAsia="仿宋" w:cs="仿宋"/>
                <w:b/>
                <w:bCs/>
                <w:kern w:val="0"/>
                <w:sz w:val="20"/>
                <w:szCs w:val="20"/>
                <w:lang w:bidi="ar"/>
              </w:rPr>
            </w:pPr>
            <w:r>
              <w:rPr>
                <w:rFonts w:hint="eastAsia" w:ascii="仿宋" w:hAnsi="仿宋" w:eastAsia="仿宋" w:cs="仿宋"/>
                <w:b/>
                <w:bCs/>
                <w:kern w:val="0"/>
                <w:sz w:val="20"/>
                <w:szCs w:val="20"/>
                <w:lang w:val="en-US" w:eastAsia="zh-CN" w:bidi="ar"/>
              </w:rPr>
              <w:t>八</w:t>
            </w:r>
            <w:r>
              <w:rPr>
                <w:rFonts w:hint="eastAsia" w:ascii="仿宋" w:hAnsi="仿宋" w:eastAsia="仿宋" w:cs="仿宋"/>
                <w:b/>
                <w:bCs/>
                <w:kern w:val="0"/>
                <w:sz w:val="20"/>
                <w:szCs w:val="20"/>
                <w:lang w:bidi="ar"/>
              </w:rPr>
              <w:t>、对应课程</w:t>
            </w:r>
          </w:p>
          <w:p w14:paraId="27CEDD87">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1.PLC与触摸屏技术</w:t>
            </w:r>
          </w:p>
          <w:p w14:paraId="06492ACF">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2.工业网络技术及应用</w:t>
            </w:r>
          </w:p>
          <w:p w14:paraId="57C8E5D3">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3.机电传动控制</w:t>
            </w:r>
          </w:p>
          <w:p w14:paraId="2FA9A85C">
            <w:pPr>
              <w:widowControl/>
              <w:ind w:firstLine="402"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bCs/>
                <w:kern w:val="0"/>
                <w:sz w:val="20"/>
                <w:szCs w:val="20"/>
                <w:lang w:val="en-US" w:eastAsia="zh-CN" w:bidi="ar"/>
              </w:rPr>
              <w:t>九</w:t>
            </w:r>
            <w:r>
              <w:rPr>
                <w:rFonts w:hint="eastAsia" w:ascii="仿宋" w:hAnsi="仿宋" w:eastAsia="仿宋" w:cs="仿宋"/>
                <w:b/>
                <w:bCs/>
                <w:kern w:val="0"/>
                <w:sz w:val="20"/>
                <w:szCs w:val="20"/>
                <w:lang w:bidi="ar"/>
              </w:rPr>
              <w:t>、对应实验</w:t>
            </w:r>
          </w:p>
          <w:p w14:paraId="6E662709">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 触摸屏界面设计；</w:t>
            </w:r>
          </w:p>
          <w:p w14:paraId="33E31FA3">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2. PLC与触摸屏的通讯实验；</w:t>
            </w:r>
          </w:p>
          <w:p w14:paraId="4358D3A8">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3. 基于Modbus的电机控制实验；</w:t>
            </w:r>
          </w:p>
          <w:p w14:paraId="53332462">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4. 基于CAN总线等方式的编码器数据读取实验；</w:t>
            </w:r>
          </w:p>
          <w:p w14:paraId="7B4301E7">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5. 基于以太网的通信实验；</w:t>
            </w:r>
          </w:p>
          <w:p w14:paraId="47468A8F">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6. 常见低压电气的认知；</w:t>
            </w:r>
          </w:p>
          <w:p w14:paraId="2DCBC587">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7. 继电器、电磁阀、气缸的控制实验；</w:t>
            </w:r>
          </w:p>
          <w:p w14:paraId="15CE0E4E">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8. PLC与编码器的接线及控制实验；</w:t>
            </w:r>
          </w:p>
          <w:p w14:paraId="0771DD68">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9. 机器人关节拆装；</w:t>
            </w:r>
          </w:p>
          <w:p w14:paraId="58060603">
            <w:pPr>
              <w:widowControl/>
              <w:ind w:firstLine="400" w:firstLineChars="200"/>
              <w:jc w:val="left"/>
              <w:textAlignment w:val="center"/>
              <w:rPr>
                <w:rFonts w:hint="eastAsia"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10. 机器人整机拆装；</w:t>
            </w:r>
          </w:p>
          <w:p w14:paraId="552BB97E">
            <w:pPr>
              <w:widowControl/>
              <w:ind w:firstLine="400" w:firstLineChars="200"/>
              <w:jc w:val="left"/>
              <w:textAlignment w:val="center"/>
              <w:rPr>
                <w:rFonts w:ascii="仿宋" w:hAnsi="仿宋" w:eastAsia="仿宋" w:cs="仿宋"/>
                <w:b w:val="0"/>
                <w:bCs w:val="0"/>
                <w:kern w:val="0"/>
                <w:sz w:val="20"/>
                <w:szCs w:val="20"/>
                <w:lang w:bidi="ar"/>
              </w:rPr>
            </w:pPr>
            <w:r>
              <w:rPr>
                <w:rFonts w:hint="eastAsia" w:ascii="仿宋" w:hAnsi="仿宋" w:eastAsia="仿宋" w:cs="仿宋"/>
                <w:b w:val="0"/>
                <w:bCs w:val="0"/>
                <w:kern w:val="0"/>
                <w:sz w:val="20"/>
                <w:szCs w:val="20"/>
                <w:lang w:bidi="ar"/>
              </w:rPr>
              <w:t xml:space="preserve">11. 机器人本体零件测绘。        </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43D1">
            <w:pPr>
              <w:widowControl/>
              <w:jc w:val="center"/>
              <w:textAlignment w:val="center"/>
              <w:rPr>
                <w:rFonts w:ascii="仿宋" w:hAnsi="仿宋" w:eastAsia="仿宋" w:cs="仿宋"/>
                <w:b w:val="0"/>
                <w:bCs w:val="0"/>
                <w:szCs w:val="21"/>
              </w:rPr>
            </w:pPr>
            <w:r>
              <w:rPr>
                <w:rFonts w:hint="eastAsia" w:ascii="仿宋" w:hAnsi="仿宋" w:eastAsia="仿宋" w:cs="仿宋"/>
                <w:b w:val="0"/>
                <w:bCs w:val="0"/>
                <w:kern w:val="0"/>
                <w:szCs w:val="21"/>
                <w:lang w:bidi="ar"/>
              </w:rPr>
              <w:t>台</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8199">
            <w:pPr>
              <w:widowControl/>
              <w:jc w:val="center"/>
              <w:textAlignment w:val="center"/>
              <w:rPr>
                <w:rFonts w:hint="eastAsia" w:ascii="仿宋" w:hAnsi="仿宋" w:eastAsia="仿宋" w:cs="仿宋"/>
                <w:b w:val="0"/>
                <w:bCs w:val="0"/>
                <w:szCs w:val="21"/>
                <w:lang w:eastAsia="zh-CN"/>
              </w:rPr>
            </w:pPr>
            <w:r>
              <w:rPr>
                <w:rFonts w:hint="eastAsia" w:ascii="仿宋" w:hAnsi="仿宋" w:eastAsia="仿宋" w:cs="仿宋"/>
                <w:b w:val="0"/>
                <w:bCs w:val="0"/>
                <w:kern w:val="0"/>
                <w:szCs w:val="21"/>
                <w:lang w:val="en-US" w:eastAsia="zh-CN" w:bidi="ar"/>
              </w:rPr>
              <w:t>4</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32BF">
            <w:pPr>
              <w:widowControl/>
              <w:jc w:val="center"/>
              <w:textAlignment w:val="center"/>
              <w:rPr>
                <w:rFonts w:ascii="仿宋" w:hAnsi="仿宋" w:eastAsia="仿宋" w:cs="仿宋"/>
                <w:b w:val="0"/>
                <w:bCs w:val="0"/>
                <w:kern w:val="0"/>
                <w:szCs w:val="21"/>
                <w:lang w:bidi="ar"/>
              </w:rPr>
            </w:pPr>
          </w:p>
        </w:tc>
      </w:tr>
    </w:tbl>
    <w:p w14:paraId="7330FA35">
      <w:pPr>
        <w:ind w:firstLine="422" w:firstLineChars="200"/>
        <w:rPr>
          <w:rFonts w:ascii="仿宋" w:hAnsi="仿宋" w:eastAsia="仿宋" w:cs="仿宋_GB2312"/>
          <w:b/>
          <w:szCs w:val="21"/>
        </w:rPr>
      </w:pPr>
      <w:r>
        <w:rPr>
          <w:rFonts w:hint="eastAsia" w:ascii="仿宋" w:hAnsi="仿宋" w:eastAsia="仿宋"/>
          <w:b/>
          <w:szCs w:val="21"/>
        </w:rPr>
        <w:t>注：以上采购预算包</w:t>
      </w:r>
      <w:r>
        <w:rPr>
          <w:rFonts w:hint="eastAsia" w:ascii="仿宋" w:hAnsi="仿宋" w:eastAsia="仿宋" w:cs="仿宋_GB2312"/>
          <w:b/>
          <w:szCs w:val="21"/>
        </w:rPr>
        <w:t xml:space="preserve">含货物费、辅材辅料费、安装调试费、税费等全部费用。   </w:t>
      </w:r>
    </w:p>
    <w:p w14:paraId="5D74ED83">
      <w:pPr>
        <w:rPr>
          <w:rFonts w:ascii="仿宋" w:hAnsi="仿宋" w:eastAsia="仿宋"/>
          <w:b/>
          <w:bCs/>
          <w:sz w:val="24"/>
        </w:rPr>
      </w:pPr>
      <w:r>
        <w:rPr>
          <w:rFonts w:hint="eastAsia" w:ascii="仿宋" w:hAnsi="仿宋" w:eastAsia="仿宋"/>
          <w:b/>
          <w:szCs w:val="21"/>
        </w:rPr>
        <w:t xml:space="preserve">     </w:t>
      </w:r>
    </w:p>
    <w:p w14:paraId="44DCC90B">
      <w:pPr>
        <w:ind w:firstLine="472" w:firstLineChars="196"/>
        <w:rPr>
          <w:rFonts w:ascii="仿宋" w:hAnsi="仿宋" w:eastAsia="仿宋"/>
          <w:b/>
          <w:bCs/>
          <w:sz w:val="24"/>
        </w:rPr>
      </w:pPr>
      <w:r>
        <w:rPr>
          <w:rFonts w:hint="eastAsia" w:ascii="仿宋" w:hAnsi="仿宋" w:eastAsia="仿宋"/>
          <w:b/>
          <w:bCs/>
          <w:sz w:val="24"/>
        </w:rPr>
        <w:t>二、投标文件要求</w:t>
      </w:r>
    </w:p>
    <w:p w14:paraId="6BB2F61C">
      <w:pPr>
        <w:spacing w:line="34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投标人的投标文件中应包含以下内容（投标文件密封，一式两份，一正一副，胶装成册。所有证件均须真实、有效，复印件均须加盖公章，缺少以下任意一项内容即作无效标处理）：</w:t>
      </w:r>
    </w:p>
    <w:p w14:paraId="22E15507">
      <w:pPr>
        <w:ind w:firstLine="480" w:firstLineChars="200"/>
        <w:jc w:val="left"/>
        <w:rPr>
          <w:rFonts w:ascii="仿宋" w:hAnsi="仿宋" w:eastAsia="仿宋" w:cs="宋体"/>
          <w:sz w:val="24"/>
        </w:rPr>
      </w:pPr>
      <w:r>
        <w:rPr>
          <w:rFonts w:ascii="仿宋" w:hAnsi="仿宋" w:eastAsia="仿宋"/>
          <w:sz w:val="24"/>
        </w:rPr>
        <w:t>1.</w:t>
      </w:r>
      <w:r>
        <w:rPr>
          <w:rFonts w:hint="eastAsia" w:ascii="仿宋" w:hAnsi="仿宋" w:eastAsia="仿宋"/>
          <w:sz w:val="24"/>
        </w:rPr>
        <w:t>投标报价清单</w:t>
      </w:r>
      <w:r>
        <w:rPr>
          <w:rFonts w:ascii="仿宋" w:hAnsi="仿宋" w:eastAsia="仿宋"/>
          <w:sz w:val="24"/>
        </w:rPr>
        <w:t>(</w:t>
      </w:r>
      <w:r>
        <w:rPr>
          <w:rFonts w:hint="eastAsia" w:ascii="仿宋" w:hAnsi="仿宋" w:eastAsia="仿宋" w:cs="仿宋_GB2312"/>
          <w:sz w:val="24"/>
        </w:rPr>
        <w:t>含货物费、辅材辅料费、安装调试费、税费等全部费用。</w:t>
      </w:r>
      <w:r>
        <w:rPr>
          <w:rFonts w:hint="eastAsia" w:ascii="仿宋" w:hAnsi="仿宋" w:eastAsia="仿宋"/>
          <w:sz w:val="24"/>
        </w:rPr>
        <w:t>投标报价高于采购预算者视为无效报价。报价以人民币计，并以大写为准</w:t>
      </w:r>
      <w:r>
        <w:rPr>
          <w:rFonts w:ascii="仿宋" w:hAnsi="仿宋" w:eastAsia="仿宋"/>
          <w:sz w:val="24"/>
        </w:rPr>
        <w:t>)</w:t>
      </w:r>
      <w:r>
        <w:rPr>
          <w:rFonts w:hint="eastAsia" w:ascii="仿宋" w:hAnsi="仿宋" w:eastAsia="仿宋" w:cs="宋体"/>
          <w:sz w:val="24"/>
        </w:rPr>
        <w:t>。</w:t>
      </w:r>
      <w:r>
        <w:rPr>
          <w:rFonts w:hint="eastAsia" w:ascii="仿宋" w:hAnsi="仿宋" w:eastAsia="仿宋" w:cs="仿宋_GB2312"/>
          <w:b/>
          <w:bCs/>
          <w:sz w:val="24"/>
        </w:rPr>
        <w:t>投标报价清单见附件1；</w:t>
      </w:r>
    </w:p>
    <w:p w14:paraId="2E860645">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有效的营业执照副本复印件、税务登记证副本复印件；或“三证合一”营业执照副本复印件；或“五证合一”营业执照副本复印件；</w:t>
      </w:r>
    </w:p>
    <w:p w14:paraId="530037CA">
      <w:pPr>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cs="仿宋_GB2312"/>
          <w:sz w:val="24"/>
        </w:rPr>
        <w:t>投标人开户银行、户名、账号；</w:t>
      </w:r>
    </w:p>
    <w:p w14:paraId="463BDA6D">
      <w:pPr>
        <w:ind w:firstLine="480" w:firstLineChars="200"/>
        <w:jc w:val="left"/>
        <w:rPr>
          <w:rFonts w:ascii="仿宋" w:hAnsi="仿宋" w:eastAsia="仿宋"/>
          <w:sz w:val="24"/>
        </w:rPr>
      </w:pPr>
      <w:r>
        <w:rPr>
          <w:rFonts w:hint="eastAsia" w:ascii="仿宋" w:hAnsi="仿宋" w:eastAsia="仿宋"/>
          <w:sz w:val="24"/>
        </w:rPr>
        <w:t>4.投标代表身份证复印件；如非法定代表人投标，另提供法定代表人授权委托书原件、法定代表人身份证复印件；投标代表需提供在本单位近三个月缴纳社保的凭证；</w:t>
      </w:r>
    </w:p>
    <w:p w14:paraId="01BB5944">
      <w:pPr>
        <w:ind w:firstLine="480" w:firstLineChars="200"/>
        <w:jc w:val="left"/>
        <w:rPr>
          <w:rFonts w:ascii="仿宋" w:hAnsi="仿宋" w:eastAsia="仿宋"/>
          <w:sz w:val="24"/>
        </w:rPr>
      </w:pPr>
      <w:r>
        <w:rPr>
          <w:rFonts w:hint="eastAsia" w:ascii="仿宋" w:hAnsi="仿宋" w:eastAsia="仿宋"/>
          <w:sz w:val="24"/>
        </w:rPr>
        <w:t>5.投标产品技术参数响应表;</w:t>
      </w:r>
    </w:p>
    <w:p w14:paraId="51C465A6">
      <w:pPr>
        <w:ind w:firstLine="480" w:firstLineChars="200"/>
        <w:jc w:val="left"/>
        <w:rPr>
          <w:rFonts w:hint="eastAsia" w:ascii="仿宋" w:hAnsi="仿宋" w:eastAsia="仿宋"/>
          <w:sz w:val="24"/>
        </w:rPr>
      </w:pPr>
      <w:r>
        <w:rPr>
          <w:rFonts w:hint="eastAsia" w:ascii="仿宋" w:hAnsi="仿宋" w:eastAsia="仿宋"/>
          <w:sz w:val="24"/>
        </w:rPr>
        <w:t>6.投标产品质量及售后服务承诺书；</w:t>
      </w:r>
    </w:p>
    <w:p w14:paraId="0F863D81">
      <w:pPr>
        <w:ind w:firstLine="480" w:firstLineChars="200"/>
        <w:jc w:val="left"/>
        <w:rPr>
          <w:rFonts w:hint="default" w:ascii="仿宋" w:hAnsi="仿宋" w:eastAsia="仿宋"/>
          <w:color w:val="0000FF"/>
          <w:sz w:val="24"/>
          <w:lang w:val="en-US" w:eastAsia="zh-CN"/>
        </w:rPr>
      </w:pPr>
      <w:r>
        <w:rPr>
          <w:rFonts w:hint="default" w:ascii="仿宋" w:hAnsi="仿宋" w:eastAsia="仿宋"/>
          <w:color w:val="0000FF"/>
          <w:sz w:val="24"/>
          <w:lang w:val="en-US"/>
        </w:rPr>
        <w:t>7</w:t>
      </w:r>
      <w:r>
        <w:rPr>
          <w:rFonts w:hint="default" w:ascii="仿宋" w:hAnsi="仿宋" w:eastAsia="仿宋"/>
          <w:color w:val="0000FF"/>
          <w:sz w:val="24"/>
          <w:lang w:val="en-US" w:eastAsia="zh-CN"/>
        </w:rPr>
        <w:t>.</w:t>
      </w:r>
      <w:r>
        <w:rPr>
          <w:rFonts w:hint="eastAsia" w:ascii="仿宋" w:hAnsi="仿宋" w:eastAsia="仿宋"/>
          <w:color w:val="0000FF"/>
          <w:sz w:val="24"/>
          <w:lang w:val="en-US" w:eastAsia="zh-CN"/>
        </w:rPr>
        <w:t>提供投标产品的彩图及产品说明书或产品简介；</w:t>
      </w:r>
    </w:p>
    <w:p w14:paraId="3760C1E6">
      <w:pPr>
        <w:ind w:firstLine="480" w:firstLineChars="200"/>
        <w:jc w:val="left"/>
        <w:rPr>
          <w:rFonts w:ascii="仿宋" w:hAnsi="仿宋" w:eastAsia="仿宋"/>
          <w:sz w:val="24"/>
        </w:rPr>
      </w:pPr>
      <w:r>
        <w:rPr>
          <w:rFonts w:hint="default" w:ascii="仿宋" w:hAnsi="仿宋" w:eastAsia="仿宋"/>
          <w:sz w:val="24"/>
          <w:lang w:val="en-US"/>
        </w:rPr>
        <w:t>8</w:t>
      </w:r>
      <w:r>
        <w:rPr>
          <w:rFonts w:hint="eastAsia" w:ascii="仿宋" w:hAnsi="仿宋" w:eastAsia="仿宋"/>
          <w:sz w:val="24"/>
        </w:rPr>
        <w:t>.提供自采购公告发布之日起至开标截止时间止的“信用中国”网站（www.creditchina.gov.cn）、中国政府采购网（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zfcg.czt.zj.gov.cn</w:t>
      </w:r>
      <w:r>
        <w:rPr>
          <w:rFonts w:hint="eastAsia" w:ascii="仿宋" w:hAnsi="仿宋" w:eastAsia="仿宋" w:cs="仿宋_GB2312"/>
          <w:sz w:val="24"/>
        </w:rPr>
        <w:t>）</w:t>
      </w:r>
      <w:r>
        <w:rPr>
          <w:rFonts w:hint="eastAsia" w:ascii="仿宋" w:hAnsi="仿宋" w:eastAsia="仿宋"/>
          <w:sz w:val="24"/>
        </w:rPr>
        <w:t>投标人信用查询网页截图（至少提供2个）（以开标当日采购人核实的查询结果为准）；</w:t>
      </w:r>
    </w:p>
    <w:p w14:paraId="01FB80DE">
      <w:pPr>
        <w:ind w:firstLine="480" w:firstLineChars="200"/>
        <w:jc w:val="left"/>
        <w:rPr>
          <w:rFonts w:ascii="仿宋" w:hAnsi="仿宋" w:eastAsia="仿宋"/>
          <w:sz w:val="24"/>
        </w:rPr>
      </w:pPr>
      <w:r>
        <w:rPr>
          <w:rFonts w:hint="default" w:ascii="仿宋" w:hAnsi="仿宋" w:eastAsia="仿宋"/>
          <w:sz w:val="24"/>
          <w:lang w:val="en-US"/>
        </w:rPr>
        <w:t>9</w:t>
      </w:r>
      <w:r>
        <w:rPr>
          <w:rFonts w:ascii="仿宋" w:hAnsi="仿宋" w:eastAsia="仿宋"/>
          <w:sz w:val="24"/>
        </w:rPr>
        <w:t>.</w:t>
      </w:r>
      <w:r>
        <w:rPr>
          <w:rFonts w:hint="eastAsia" w:ascii="仿宋" w:hAnsi="仿宋" w:eastAsia="仿宋" w:cs="仿宋_GB2312"/>
          <w:sz w:val="24"/>
        </w:rPr>
        <w:t>其他相关材料（采购需求清单中要求提供的材料，投标人认为需要提供的材料等）。</w:t>
      </w:r>
    </w:p>
    <w:p w14:paraId="6B0BA368">
      <w:pPr>
        <w:spacing w:line="340" w:lineRule="exact"/>
        <w:ind w:firstLine="472" w:firstLineChars="196"/>
        <w:jc w:val="left"/>
        <w:rPr>
          <w:rFonts w:ascii="仿宋" w:hAnsi="仿宋" w:eastAsia="仿宋"/>
          <w:b/>
          <w:bCs/>
          <w:sz w:val="24"/>
        </w:rPr>
      </w:pPr>
      <w:r>
        <w:rPr>
          <w:rFonts w:hint="eastAsia" w:ascii="仿宋" w:hAnsi="仿宋" w:eastAsia="仿宋"/>
          <w:b/>
          <w:bCs/>
          <w:sz w:val="24"/>
        </w:rPr>
        <w:t>三、投标文件递交及开标时间：</w:t>
      </w:r>
    </w:p>
    <w:p w14:paraId="19F41A78">
      <w:pPr>
        <w:spacing w:line="340" w:lineRule="exact"/>
        <w:ind w:firstLine="480" w:firstLineChars="200"/>
        <w:jc w:val="left"/>
        <w:rPr>
          <w:rFonts w:ascii="仿宋" w:hAnsi="仿宋" w:eastAsia="仿宋"/>
          <w:b/>
          <w:sz w:val="24"/>
          <w:u w:val="single"/>
        </w:rPr>
      </w:pPr>
      <w:r>
        <w:rPr>
          <w:rFonts w:ascii="仿宋" w:hAnsi="仿宋" w:eastAsia="仿宋"/>
          <w:sz w:val="24"/>
        </w:rPr>
        <w:t>1.</w:t>
      </w:r>
      <w:r>
        <w:rPr>
          <w:rFonts w:hint="eastAsia" w:ascii="仿宋" w:hAnsi="仿宋" w:eastAsia="仿宋"/>
          <w:sz w:val="24"/>
        </w:rPr>
        <w:t>开标时间：</w:t>
      </w:r>
      <w:r>
        <w:rPr>
          <w:rFonts w:hint="eastAsia" w:ascii="仿宋" w:hAnsi="仿宋" w:eastAsia="仿宋" w:cs="宋体"/>
          <w:bCs/>
          <w:kern w:val="0"/>
          <w:sz w:val="24"/>
        </w:rPr>
        <w:t>2024年</w:t>
      </w:r>
      <w:r>
        <w:rPr>
          <w:rFonts w:hint="eastAsia" w:ascii="仿宋" w:hAnsi="仿宋" w:eastAsia="仿宋" w:cs="宋体"/>
          <w:bCs/>
          <w:kern w:val="0"/>
          <w:sz w:val="24"/>
          <w:lang w:val="en-US" w:eastAsia="zh-CN"/>
        </w:rPr>
        <w:t>12</w:t>
      </w:r>
      <w:r>
        <w:rPr>
          <w:rFonts w:hint="eastAsia" w:ascii="仿宋" w:hAnsi="仿宋" w:eastAsia="仿宋" w:cs="宋体"/>
          <w:bCs/>
          <w:kern w:val="0"/>
          <w:sz w:val="24"/>
        </w:rPr>
        <w:t xml:space="preserve">月 </w:t>
      </w:r>
      <w:r>
        <w:rPr>
          <w:rFonts w:hint="eastAsia" w:ascii="仿宋" w:hAnsi="仿宋" w:eastAsia="仿宋" w:cs="宋体"/>
          <w:bCs/>
          <w:kern w:val="0"/>
          <w:sz w:val="24"/>
          <w:lang w:val="en-US" w:eastAsia="zh-CN"/>
        </w:rPr>
        <w:t xml:space="preserve">2 </w:t>
      </w:r>
      <w:r>
        <w:rPr>
          <w:rFonts w:hint="eastAsia" w:ascii="仿宋" w:hAnsi="仿宋" w:eastAsia="仿宋" w:cs="宋体"/>
          <w:bCs/>
          <w:kern w:val="0"/>
          <w:sz w:val="24"/>
        </w:rPr>
        <w:t>日10:30；</w:t>
      </w:r>
    </w:p>
    <w:p w14:paraId="658FAFFF">
      <w:pPr>
        <w:spacing w:line="340" w:lineRule="exact"/>
        <w:ind w:left="147" w:leftChars="70" w:firstLine="360" w:firstLineChars="150"/>
        <w:jc w:val="left"/>
        <w:rPr>
          <w:rFonts w:ascii="仿宋" w:hAnsi="仿宋" w:eastAsia="仿宋"/>
          <w:sz w:val="24"/>
        </w:rPr>
      </w:pPr>
      <w:r>
        <w:rPr>
          <w:rFonts w:ascii="仿宋" w:hAnsi="仿宋" w:eastAsia="仿宋"/>
          <w:sz w:val="24"/>
        </w:rPr>
        <w:t>2.</w:t>
      </w:r>
      <w:r>
        <w:rPr>
          <w:rFonts w:hint="eastAsia" w:ascii="仿宋" w:hAnsi="仿宋" w:eastAsia="仿宋"/>
          <w:sz w:val="24"/>
        </w:rPr>
        <w:t>开标地点：湖州市二环东路</w:t>
      </w:r>
      <w:r>
        <w:rPr>
          <w:rFonts w:ascii="仿宋" w:hAnsi="仿宋" w:eastAsia="仿宋"/>
          <w:sz w:val="24"/>
        </w:rPr>
        <w:t>759</w:t>
      </w:r>
      <w:r>
        <w:rPr>
          <w:rFonts w:hint="eastAsia" w:ascii="仿宋" w:hAnsi="仿宋" w:eastAsia="仿宋"/>
          <w:sz w:val="24"/>
        </w:rPr>
        <w:t>号湖州师范学院东校区明达楼</w:t>
      </w:r>
      <w:r>
        <w:rPr>
          <w:rFonts w:ascii="仿宋" w:hAnsi="仿宋" w:eastAsia="仿宋"/>
          <w:sz w:val="24"/>
        </w:rPr>
        <w:t>20</w:t>
      </w:r>
      <w:r>
        <w:rPr>
          <w:rFonts w:hint="eastAsia" w:ascii="仿宋" w:hAnsi="仿宋" w:eastAsia="仿宋"/>
          <w:sz w:val="24"/>
        </w:rPr>
        <w:t>4室；</w:t>
      </w:r>
    </w:p>
    <w:p w14:paraId="752D4E3E">
      <w:pPr>
        <w:spacing w:line="3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联系人：徐老师；</w:t>
      </w:r>
    </w:p>
    <w:p w14:paraId="199B15E1">
      <w:pPr>
        <w:spacing w:line="340" w:lineRule="exact"/>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电话：</w:t>
      </w:r>
      <w:r>
        <w:rPr>
          <w:rFonts w:ascii="仿宋" w:hAnsi="仿宋" w:eastAsia="仿宋"/>
          <w:sz w:val="24"/>
        </w:rPr>
        <w:t>0572-232</w:t>
      </w:r>
      <w:r>
        <w:rPr>
          <w:rFonts w:hint="eastAsia" w:ascii="仿宋" w:hAnsi="仿宋" w:eastAsia="仿宋"/>
          <w:sz w:val="24"/>
        </w:rPr>
        <w:t>2188。</w:t>
      </w:r>
    </w:p>
    <w:p w14:paraId="6259A027">
      <w:pPr>
        <w:spacing w:line="340" w:lineRule="exact"/>
        <w:ind w:firstLine="472" w:firstLineChars="196"/>
        <w:jc w:val="left"/>
        <w:rPr>
          <w:rFonts w:ascii="仿宋" w:hAnsi="仿宋" w:eastAsia="仿宋"/>
          <w:b/>
          <w:bCs/>
          <w:sz w:val="24"/>
        </w:rPr>
      </w:pPr>
      <w:r>
        <w:rPr>
          <w:rFonts w:hint="eastAsia" w:ascii="仿宋" w:hAnsi="仿宋" w:eastAsia="仿宋"/>
          <w:b/>
          <w:bCs/>
          <w:sz w:val="24"/>
        </w:rPr>
        <w:t>四、中标办法</w:t>
      </w:r>
    </w:p>
    <w:p w14:paraId="22F008F5">
      <w:pPr>
        <w:ind w:firstLine="480" w:firstLineChars="200"/>
        <w:jc w:val="left"/>
        <w:rPr>
          <w:rFonts w:ascii="仿宋" w:hAnsi="仿宋" w:eastAsia="仿宋"/>
          <w:sz w:val="24"/>
        </w:rPr>
      </w:pPr>
      <w:r>
        <w:rPr>
          <w:rFonts w:hint="eastAsia" w:ascii="仿宋" w:hAnsi="仿宋" w:eastAsia="仿宋"/>
          <w:sz w:val="24"/>
        </w:rPr>
        <w:t>本项目根据投标报价、货物需求响应、服务承诺等确定拟中标单位。在货物需求响应、服务承诺等条件符合的条件下，报价最低的单位作为第一成交候选人，次低报价的单位作为第二成交候选人，以此类推。</w:t>
      </w:r>
    </w:p>
    <w:p w14:paraId="3E98C376">
      <w:pPr>
        <w:ind w:firstLine="480" w:firstLineChars="200"/>
        <w:jc w:val="left"/>
        <w:rPr>
          <w:rFonts w:ascii="仿宋" w:hAnsi="仿宋" w:eastAsia="仿宋"/>
          <w:sz w:val="24"/>
        </w:rPr>
      </w:pPr>
      <w:r>
        <w:rPr>
          <w:rFonts w:hint="eastAsia" w:ascii="仿宋" w:hAnsi="仿宋" w:eastAsia="仿宋"/>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14:paraId="76699C04">
      <w:pPr>
        <w:spacing w:line="340" w:lineRule="exact"/>
        <w:ind w:firstLine="472" w:firstLineChars="196"/>
        <w:jc w:val="left"/>
        <w:rPr>
          <w:rFonts w:ascii="仿宋" w:hAnsi="仿宋" w:eastAsia="仿宋"/>
          <w:b/>
          <w:bCs/>
          <w:sz w:val="24"/>
        </w:rPr>
      </w:pPr>
      <w:r>
        <w:rPr>
          <w:rFonts w:hint="eastAsia" w:ascii="仿宋" w:hAnsi="仿宋" w:eastAsia="仿宋"/>
          <w:b/>
          <w:bCs/>
          <w:sz w:val="24"/>
        </w:rPr>
        <w:t>五、付款方式</w:t>
      </w:r>
    </w:p>
    <w:p w14:paraId="72F37A08">
      <w:pPr>
        <w:adjustRightInd w:val="0"/>
        <w:snapToGrid w:val="0"/>
        <w:spacing w:line="260" w:lineRule="exact"/>
        <w:ind w:firstLine="470" w:firstLineChars="196"/>
        <w:jc w:val="left"/>
        <w:rPr>
          <w:rFonts w:ascii="仿宋" w:hAnsi="仿宋" w:eastAsia="仿宋"/>
          <w:sz w:val="24"/>
        </w:rPr>
      </w:pPr>
      <w:r>
        <w:rPr>
          <w:rFonts w:hint="eastAsia" w:ascii="仿宋" w:hAnsi="仿宋" w:eastAsia="仿宋" w:cs="仿宋"/>
          <w:sz w:val="24"/>
        </w:rPr>
        <w:t>中标人完成本项目并经采购人验收合格后，</w:t>
      </w:r>
      <w:r>
        <w:rPr>
          <w:rFonts w:hint="eastAsia" w:ascii="仿宋" w:hAnsi="仿宋" w:eastAsia="仿宋"/>
          <w:sz w:val="24"/>
        </w:rPr>
        <w:t>中标人依法依规开具全额发票，采购人按合同金额原则上于14个工作日内（如遇特殊情况顺延）一次性全额支付款项。</w:t>
      </w:r>
    </w:p>
    <w:p w14:paraId="0AFB8134">
      <w:pPr>
        <w:spacing w:line="340" w:lineRule="exact"/>
        <w:ind w:firstLine="472" w:firstLineChars="196"/>
        <w:jc w:val="left"/>
        <w:rPr>
          <w:rFonts w:ascii="仿宋" w:hAnsi="仿宋" w:eastAsia="仿宋"/>
          <w:b/>
          <w:bCs/>
          <w:sz w:val="24"/>
        </w:rPr>
      </w:pPr>
      <w:r>
        <w:rPr>
          <w:rFonts w:hint="eastAsia" w:ascii="仿宋" w:hAnsi="仿宋" w:eastAsia="仿宋"/>
          <w:b/>
          <w:bCs/>
          <w:sz w:val="24"/>
        </w:rPr>
        <w:t>六、交货时间及地点</w:t>
      </w:r>
    </w:p>
    <w:p w14:paraId="1E2B0451">
      <w:pPr>
        <w:spacing w:line="340" w:lineRule="exact"/>
        <w:ind w:firstLine="480" w:firstLineChars="200"/>
        <w:jc w:val="left"/>
        <w:rPr>
          <w:rFonts w:ascii="仿宋" w:hAnsi="仿宋" w:eastAsia="仿宋"/>
          <w:color w:val="auto"/>
          <w:sz w:val="24"/>
        </w:rPr>
      </w:pPr>
      <w:r>
        <w:rPr>
          <w:rFonts w:hint="eastAsia" w:ascii="仿宋" w:hAnsi="仿宋" w:eastAsia="仿宋"/>
          <w:sz w:val="24"/>
        </w:rPr>
        <w:t>1.交货时间：</w:t>
      </w:r>
      <w:r>
        <w:rPr>
          <w:rFonts w:hint="eastAsia" w:ascii="仿宋" w:hAnsi="仿宋" w:eastAsia="仿宋"/>
          <w:color w:val="auto"/>
          <w:sz w:val="24"/>
        </w:rPr>
        <w:t>自合同签订后20天内到货并安装。</w:t>
      </w:r>
    </w:p>
    <w:p w14:paraId="7C221F76">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2.交货地点：湖州师范学院指定地点。</w:t>
      </w:r>
    </w:p>
    <w:p w14:paraId="7F76C95F">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七、售后服务</w:t>
      </w:r>
    </w:p>
    <w:p w14:paraId="66C66D82">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自验收合格之日起，提供2年质保期，如厂家货物质保期超过2年的，按厂家质保标准执行。质保期内器材出现故障，中标人应在接到器材故障报修请求后，于30分钟内响应，2 小时内提出解决方案，24小时内完成免费维修或72小时内完成更换。</w:t>
      </w:r>
    </w:p>
    <w:p w14:paraId="657293B0">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八、产品质量保证</w:t>
      </w:r>
    </w:p>
    <w:p w14:paraId="109EEA6C">
      <w:pPr>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14:paraId="1FE51505">
      <w:pPr>
        <w:spacing w:line="3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中标人供应的产品如不符合招标文件和合同要求，采购人有权无条件退货，责任全部由中标人承担。</w:t>
      </w:r>
    </w:p>
    <w:p w14:paraId="2ABFC428">
      <w:pPr>
        <w:spacing w:line="340" w:lineRule="exact"/>
        <w:ind w:firstLine="480" w:firstLineChars="200"/>
        <w:rPr>
          <w:rFonts w:ascii="仿宋" w:hAnsi="仿宋" w:eastAsia="仿宋"/>
          <w:sz w:val="24"/>
        </w:rPr>
      </w:pPr>
    </w:p>
    <w:p w14:paraId="07D10564">
      <w:pPr>
        <w:spacing w:line="340" w:lineRule="exact"/>
        <w:ind w:firstLine="482" w:firstLineChars="200"/>
        <w:jc w:val="left"/>
        <w:rPr>
          <w:rFonts w:ascii="仿宋" w:hAnsi="仿宋" w:eastAsia="仿宋"/>
          <w:b/>
          <w:sz w:val="24"/>
        </w:rPr>
      </w:pPr>
      <w:r>
        <w:rPr>
          <w:rFonts w:hint="eastAsia" w:ascii="仿宋" w:hAnsi="仿宋" w:eastAsia="仿宋"/>
          <w:b/>
          <w:sz w:val="24"/>
        </w:rPr>
        <w:t>附件1：投标报价清单</w:t>
      </w:r>
    </w:p>
    <w:p w14:paraId="06DBB36B">
      <w:pPr>
        <w:pStyle w:val="2"/>
        <w:ind w:firstLine="482" w:firstLineChars="200"/>
        <w:rPr>
          <w:rFonts w:eastAsia="仿宋"/>
        </w:rPr>
      </w:pPr>
      <w:r>
        <w:rPr>
          <w:rFonts w:hint="eastAsia" w:ascii="仿宋" w:hAnsi="仿宋" w:eastAsia="仿宋"/>
          <w:sz w:val="24"/>
        </w:rPr>
        <w:t>附件2：技术参数响应表</w:t>
      </w:r>
    </w:p>
    <w:p w14:paraId="3C5AB2C1">
      <w:pPr>
        <w:spacing w:line="340" w:lineRule="exact"/>
        <w:ind w:firstLine="482" w:firstLineChars="200"/>
        <w:jc w:val="left"/>
        <w:rPr>
          <w:rFonts w:ascii="仿宋" w:hAnsi="仿宋" w:eastAsia="仿宋"/>
          <w:b/>
          <w:sz w:val="24"/>
        </w:rPr>
      </w:pPr>
    </w:p>
    <w:p w14:paraId="54D39706">
      <w:pPr>
        <w:spacing w:before="100" w:line="340" w:lineRule="exact"/>
        <w:ind w:firstLine="4819" w:firstLineChars="2000"/>
        <w:jc w:val="right"/>
        <w:rPr>
          <w:rFonts w:ascii="仿宋" w:hAnsi="仿宋" w:eastAsia="仿宋"/>
          <w:b/>
          <w:sz w:val="24"/>
        </w:rPr>
      </w:pPr>
      <w:r>
        <w:rPr>
          <w:rFonts w:hint="eastAsia" w:ascii="仿宋" w:hAnsi="仿宋" w:eastAsia="仿宋"/>
          <w:b/>
          <w:sz w:val="24"/>
        </w:rPr>
        <w:t>湖州师范学院采购中心</w:t>
      </w:r>
    </w:p>
    <w:p w14:paraId="3C1EC3CA">
      <w:pPr>
        <w:spacing w:before="100" w:line="340" w:lineRule="exact"/>
        <w:ind w:firstLine="5440" w:firstLineChars="2258"/>
        <w:jc w:val="right"/>
        <w:rPr>
          <w:rFonts w:ascii="仿宋" w:hAnsi="仿宋" w:eastAsia="仿宋"/>
          <w:b/>
          <w:sz w:val="24"/>
          <w:highlight w:val="yellow"/>
        </w:rPr>
      </w:pPr>
      <w:r>
        <w:rPr>
          <w:rFonts w:hint="eastAsia" w:ascii="仿宋" w:hAnsi="仿宋" w:eastAsia="仿宋"/>
          <w:b/>
          <w:sz w:val="24"/>
        </w:rPr>
        <w:t>2024年1</w:t>
      </w:r>
      <w:r>
        <w:rPr>
          <w:rFonts w:hint="eastAsia" w:ascii="仿宋" w:hAnsi="仿宋" w:eastAsia="仿宋"/>
          <w:b/>
          <w:sz w:val="24"/>
          <w:lang w:val="en-US" w:eastAsia="zh-CN"/>
        </w:rPr>
        <w:t>1</w:t>
      </w:r>
      <w:r>
        <w:rPr>
          <w:rFonts w:hint="eastAsia" w:ascii="仿宋" w:hAnsi="仿宋" w:eastAsia="仿宋"/>
          <w:b/>
          <w:sz w:val="24"/>
        </w:rPr>
        <w:t>月</w:t>
      </w:r>
      <w:r>
        <w:rPr>
          <w:rFonts w:hint="eastAsia" w:ascii="仿宋" w:hAnsi="仿宋" w:eastAsia="仿宋"/>
          <w:b/>
          <w:sz w:val="24"/>
          <w:lang w:val="en-US" w:eastAsia="zh-CN"/>
        </w:rPr>
        <w:t xml:space="preserve">26 </w:t>
      </w:r>
      <w:r>
        <w:rPr>
          <w:rFonts w:hint="eastAsia" w:ascii="仿宋" w:hAnsi="仿宋" w:eastAsia="仿宋"/>
          <w:b/>
          <w:sz w:val="24"/>
        </w:rPr>
        <w:t>日</w:t>
      </w:r>
    </w:p>
    <w:p w14:paraId="323D871B">
      <w:pPr>
        <w:spacing w:before="100" w:line="340" w:lineRule="exact"/>
        <w:jc w:val="left"/>
        <w:rPr>
          <w:rFonts w:ascii="仿宋" w:hAnsi="仿宋" w:eastAsia="仿宋"/>
          <w:b/>
          <w:sz w:val="24"/>
        </w:rPr>
      </w:pPr>
    </w:p>
    <w:p w14:paraId="15F5FEE1">
      <w:pPr>
        <w:widowControl/>
        <w:jc w:val="left"/>
        <w:rPr>
          <w:rFonts w:ascii="仿宋" w:hAnsi="仿宋" w:eastAsia="仿宋"/>
          <w:b/>
          <w:sz w:val="24"/>
        </w:rPr>
      </w:pPr>
    </w:p>
    <w:p w14:paraId="2E07262F">
      <w:pPr>
        <w:widowControl/>
        <w:jc w:val="left"/>
        <w:rPr>
          <w:rFonts w:hint="eastAsia" w:ascii="仿宋" w:hAnsi="仿宋" w:eastAsia="仿宋"/>
          <w:b/>
          <w:sz w:val="24"/>
        </w:rPr>
      </w:pPr>
    </w:p>
    <w:p w14:paraId="6B510B40">
      <w:pPr>
        <w:widowControl/>
        <w:jc w:val="left"/>
        <w:rPr>
          <w:rFonts w:hint="eastAsia" w:ascii="仿宋" w:hAnsi="仿宋" w:eastAsia="仿宋"/>
          <w:b/>
          <w:sz w:val="24"/>
        </w:rPr>
      </w:pPr>
    </w:p>
    <w:p w14:paraId="34617C65">
      <w:pPr>
        <w:widowControl/>
        <w:jc w:val="left"/>
        <w:rPr>
          <w:rFonts w:hint="eastAsia" w:ascii="仿宋" w:hAnsi="仿宋" w:eastAsia="仿宋"/>
          <w:b/>
          <w:sz w:val="24"/>
        </w:rPr>
      </w:pPr>
    </w:p>
    <w:p w14:paraId="2A0ECB3F">
      <w:pPr>
        <w:widowControl/>
        <w:jc w:val="left"/>
        <w:rPr>
          <w:rFonts w:hint="eastAsia" w:ascii="仿宋" w:hAnsi="仿宋" w:eastAsia="仿宋"/>
          <w:b/>
          <w:sz w:val="24"/>
        </w:rPr>
      </w:pPr>
    </w:p>
    <w:p w14:paraId="68ADFE18">
      <w:pPr>
        <w:widowControl/>
        <w:jc w:val="left"/>
        <w:rPr>
          <w:rFonts w:hint="eastAsia" w:ascii="仿宋" w:hAnsi="仿宋" w:eastAsia="仿宋"/>
          <w:b/>
          <w:sz w:val="24"/>
        </w:rPr>
      </w:pPr>
    </w:p>
    <w:p w14:paraId="447534E5">
      <w:pPr>
        <w:widowControl/>
        <w:jc w:val="left"/>
        <w:rPr>
          <w:rFonts w:hint="eastAsia" w:ascii="仿宋" w:hAnsi="仿宋" w:eastAsia="仿宋"/>
          <w:b/>
          <w:sz w:val="24"/>
        </w:rPr>
      </w:pPr>
    </w:p>
    <w:p w14:paraId="1221D014">
      <w:pPr>
        <w:widowControl/>
        <w:jc w:val="left"/>
        <w:rPr>
          <w:rFonts w:hint="eastAsia" w:ascii="仿宋" w:hAnsi="仿宋" w:eastAsia="仿宋"/>
          <w:b/>
          <w:sz w:val="24"/>
        </w:rPr>
      </w:pPr>
    </w:p>
    <w:p w14:paraId="1FEDA199">
      <w:pPr>
        <w:widowControl/>
        <w:jc w:val="left"/>
        <w:rPr>
          <w:rFonts w:hint="eastAsia" w:ascii="仿宋" w:hAnsi="仿宋" w:eastAsia="仿宋"/>
          <w:b/>
          <w:sz w:val="24"/>
        </w:rPr>
      </w:pPr>
    </w:p>
    <w:p w14:paraId="7DE8DA56">
      <w:pPr>
        <w:widowControl/>
        <w:jc w:val="left"/>
        <w:rPr>
          <w:rFonts w:ascii="仿宋" w:hAnsi="仿宋" w:eastAsia="仿宋"/>
          <w:b/>
          <w:sz w:val="24"/>
        </w:rPr>
      </w:pPr>
      <w:r>
        <w:rPr>
          <w:rFonts w:hint="eastAsia" w:ascii="仿宋" w:hAnsi="仿宋" w:eastAsia="仿宋"/>
          <w:b/>
          <w:sz w:val="24"/>
        </w:rPr>
        <w:t>附件1</w:t>
      </w:r>
    </w:p>
    <w:p w14:paraId="4BE29D91">
      <w:pPr>
        <w:spacing w:before="100" w:line="340" w:lineRule="exact"/>
        <w:ind w:firstLine="723" w:firstLineChars="200"/>
        <w:jc w:val="center"/>
        <w:rPr>
          <w:rFonts w:ascii="仿宋" w:hAnsi="仿宋" w:eastAsia="仿宋"/>
          <w:b/>
          <w:sz w:val="36"/>
          <w:szCs w:val="36"/>
        </w:rPr>
      </w:pPr>
      <w:r>
        <w:rPr>
          <w:rFonts w:hint="eastAsia" w:ascii="仿宋" w:hAnsi="仿宋" w:eastAsia="仿宋"/>
          <w:b/>
          <w:sz w:val="36"/>
          <w:szCs w:val="36"/>
        </w:rPr>
        <w:t>投标报价清单</w:t>
      </w:r>
    </w:p>
    <w:p w14:paraId="26469D70">
      <w:pPr>
        <w:spacing w:before="100" w:line="340" w:lineRule="exact"/>
        <w:ind w:firstLine="723" w:firstLineChars="200"/>
        <w:jc w:val="center"/>
        <w:rPr>
          <w:rFonts w:ascii="仿宋" w:hAnsi="仿宋" w:eastAsia="仿宋"/>
          <w:b/>
          <w:sz w:val="36"/>
          <w:szCs w:val="36"/>
        </w:rPr>
      </w:pPr>
    </w:p>
    <w:p w14:paraId="3B3B5680">
      <w:pPr>
        <w:rPr>
          <w:rFonts w:ascii="仿宋" w:hAnsi="仿宋" w:eastAsia="仿宋" w:cs="宋体"/>
          <w:kern w:val="0"/>
          <w:sz w:val="24"/>
        </w:rPr>
      </w:pPr>
      <w:r>
        <w:rPr>
          <w:rFonts w:hint="eastAsia" w:ascii="仿宋" w:hAnsi="仿宋" w:eastAsia="仿宋"/>
          <w:b/>
          <w:sz w:val="24"/>
        </w:rPr>
        <w:t>项目名称：</w:t>
      </w:r>
      <w:r>
        <w:rPr>
          <w:rFonts w:hint="eastAsia" w:ascii="仿宋" w:hAnsi="仿宋" w:eastAsia="仿宋" w:cs="仿宋_GB2312"/>
          <w:b/>
          <w:sz w:val="24"/>
        </w:rPr>
        <w:t>湖州师范学院智能制造专业机器人实训平台采购项目</w:t>
      </w:r>
    </w:p>
    <w:p w14:paraId="0A201F1F">
      <w:pPr>
        <w:spacing w:line="340" w:lineRule="exact"/>
        <w:jc w:val="left"/>
        <w:rPr>
          <w:rFonts w:hint="default" w:ascii="仿宋" w:hAnsi="仿宋" w:eastAsia="仿宋"/>
          <w:sz w:val="24"/>
          <w:lang w:val="en-US" w:eastAsia="zh-CN"/>
        </w:rPr>
      </w:pPr>
      <w:r>
        <w:rPr>
          <w:rFonts w:hint="eastAsia" w:ascii="仿宋" w:hAnsi="仿宋" w:eastAsia="仿宋"/>
          <w:b/>
          <w:sz w:val="24"/>
        </w:rPr>
        <w:t>项目编号：</w:t>
      </w:r>
      <w:r>
        <w:rPr>
          <w:rFonts w:hint="eastAsia" w:ascii="仿宋" w:hAnsi="仿宋" w:eastAsia="仿宋"/>
          <w:sz w:val="24"/>
        </w:rPr>
        <w:t>XZ2024-</w:t>
      </w:r>
      <w:r>
        <w:rPr>
          <w:rFonts w:hint="eastAsia" w:ascii="仿宋" w:hAnsi="仿宋" w:eastAsia="仿宋"/>
          <w:sz w:val="24"/>
          <w:lang w:val="en-US" w:eastAsia="zh-CN"/>
        </w:rPr>
        <w:t>159</w:t>
      </w:r>
    </w:p>
    <w:tbl>
      <w:tblPr>
        <w:tblStyle w:val="10"/>
        <w:tblW w:w="9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3058"/>
        <w:gridCol w:w="1765"/>
        <w:gridCol w:w="750"/>
        <w:gridCol w:w="735"/>
        <w:gridCol w:w="1335"/>
        <w:gridCol w:w="1250"/>
      </w:tblGrid>
      <w:tr w14:paraId="1919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508" w:type="dxa"/>
            <w:noWrap/>
            <w:vAlign w:val="center"/>
          </w:tcPr>
          <w:p w14:paraId="655F532B">
            <w:pPr>
              <w:pStyle w:val="9"/>
              <w:widowControl/>
              <w:spacing w:before="225" w:beforeAutospacing="0" w:after="225" w:afterAutospacing="0" w:line="0" w:lineRule="atLeast"/>
              <w:jc w:val="center"/>
              <w:rPr>
                <w:b/>
              </w:rPr>
            </w:pPr>
            <w:r>
              <w:rPr>
                <w:rFonts w:hint="eastAsia" w:ascii="仿宋" w:hAnsi="仿宋" w:eastAsia="仿宋" w:cs="仿宋"/>
                <w:b/>
              </w:rPr>
              <w:t>序号</w:t>
            </w:r>
          </w:p>
        </w:tc>
        <w:tc>
          <w:tcPr>
            <w:tcW w:w="3058" w:type="dxa"/>
            <w:noWrap/>
            <w:vAlign w:val="center"/>
          </w:tcPr>
          <w:p w14:paraId="39F2B2A0">
            <w:pPr>
              <w:pStyle w:val="9"/>
              <w:widowControl/>
              <w:spacing w:before="225" w:beforeAutospacing="0" w:after="225" w:afterAutospacing="0" w:line="0" w:lineRule="atLeast"/>
              <w:jc w:val="center"/>
              <w:rPr>
                <w:b/>
              </w:rPr>
            </w:pPr>
            <w:r>
              <w:rPr>
                <w:rFonts w:hint="eastAsia" w:ascii="仿宋" w:hAnsi="仿宋" w:eastAsia="仿宋" w:cs="仿宋"/>
                <w:b/>
              </w:rPr>
              <w:t>名称</w:t>
            </w:r>
          </w:p>
        </w:tc>
        <w:tc>
          <w:tcPr>
            <w:tcW w:w="1765" w:type="dxa"/>
            <w:noWrap/>
            <w:vAlign w:val="center"/>
          </w:tcPr>
          <w:p w14:paraId="0BBC7D2E">
            <w:pPr>
              <w:pStyle w:val="9"/>
              <w:widowControl/>
              <w:spacing w:before="225" w:beforeAutospacing="0" w:after="225" w:afterAutospacing="0" w:line="0" w:lineRule="atLeast"/>
              <w:jc w:val="center"/>
              <w:rPr>
                <w:rFonts w:ascii="仿宋" w:hAnsi="仿宋" w:eastAsia="仿宋" w:cs="仿宋"/>
                <w:b/>
              </w:rPr>
            </w:pPr>
            <w:r>
              <w:rPr>
                <w:rFonts w:hint="eastAsia" w:ascii="仿宋" w:hAnsi="仿宋" w:eastAsia="仿宋" w:cs="仿宋"/>
                <w:b/>
              </w:rPr>
              <w:t>投标品牌型号</w:t>
            </w:r>
          </w:p>
        </w:tc>
        <w:tc>
          <w:tcPr>
            <w:tcW w:w="750" w:type="dxa"/>
            <w:noWrap/>
            <w:vAlign w:val="center"/>
          </w:tcPr>
          <w:p w14:paraId="26D8F5E2">
            <w:pPr>
              <w:pStyle w:val="9"/>
              <w:widowControl/>
              <w:spacing w:before="225" w:beforeAutospacing="0" w:after="225" w:afterAutospacing="0" w:line="0" w:lineRule="atLeast"/>
              <w:jc w:val="center"/>
              <w:rPr>
                <w:rFonts w:ascii="仿宋" w:hAnsi="仿宋" w:eastAsia="仿宋" w:cs="仿宋"/>
                <w:b/>
              </w:rPr>
            </w:pPr>
            <w:r>
              <w:rPr>
                <w:rFonts w:hint="eastAsia" w:ascii="仿宋" w:hAnsi="仿宋" w:eastAsia="仿宋" w:cs="仿宋"/>
                <w:b/>
              </w:rPr>
              <w:t>单位</w:t>
            </w:r>
          </w:p>
        </w:tc>
        <w:tc>
          <w:tcPr>
            <w:tcW w:w="735" w:type="dxa"/>
            <w:noWrap/>
            <w:vAlign w:val="center"/>
          </w:tcPr>
          <w:p w14:paraId="63E16A8D">
            <w:pPr>
              <w:pStyle w:val="9"/>
              <w:widowControl/>
              <w:spacing w:before="225" w:beforeAutospacing="0" w:after="225" w:afterAutospacing="0" w:line="0" w:lineRule="atLeast"/>
              <w:jc w:val="center"/>
              <w:rPr>
                <w:b/>
              </w:rPr>
            </w:pPr>
            <w:r>
              <w:rPr>
                <w:rFonts w:hint="eastAsia" w:ascii="仿宋" w:hAnsi="仿宋" w:eastAsia="仿宋" w:cs="仿宋"/>
                <w:b/>
              </w:rPr>
              <w:t>数量</w:t>
            </w:r>
          </w:p>
        </w:tc>
        <w:tc>
          <w:tcPr>
            <w:tcW w:w="1335" w:type="dxa"/>
            <w:noWrap/>
            <w:vAlign w:val="center"/>
          </w:tcPr>
          <w:p w14:paraId="242EB2B9">
            <w:pPr>
              <w:pStyle w:val="9"/>
              <w:widowControl/>
              <w:spacing w:before="225" w:beforeAutospacing="0" w:after="225" w:afterAutospacing="0" w:line="0" w:lineRule="atLeast"/>
              <w:jc w:val="center"/>
              <w:rPr>
                <w:rFonts w:ascii="仿宋" w:hAnsi="仿宋" w:eastAsia="仿宋" w:cs="仿宋"/>
                <w:b/>
              </w:rPr>
            </w:pPr>
            <w:r>
              <w:rPr>
                <w:rFonts w:hint="eastAsia" w:ascii="仿宋" w:hAnsi="仿宋" w:eastAsia="仿宋" w:cs="仿宋"/>
                <w:b/>
              </w:rPr>
              <w:t>投标单价（元）</w:t>
            </w:r>
          </w:p>
        </w:tc>
        <w:tc>
          <w:tcPr>
            <w:tcW w:w="1250" w:type="dxa"/>
            <w:noWrap/>
            <w:vAlign w:val="center"/>
          </w:tcPr>
          <w:p w14:paraId="07724D04">
            <w:pPr>
              <w:pStyle w:val="9"/>
              <w:widowControl/>
              <w:spacing w:before="225" w:beforeAutospacing="0" w:after="225" w:afterAutospacing="0" w:line="0" w:lineRule="atLeast"/>
              <w:jc w:val="center"/>
              <w:rPr>
                <w:rFonts w:ascii="仿宋" w:hAnsi="仿宋" w:eastAsia="仿宋" w:cs="仿宋"/>
                <w:b/>
              </w:rPr>
            </w:pPr>
            <w:r>
              <w:rPr>
                <w:rFonts w:hint="eastAsia" w:ascii="仿宋" w:hAnsi="仿宋" w:eastAsia="仿宋" w:cs="仿宋"/>
                <w:b/>
              </w:rPr>
              <w:t>投标总价（元）</w:t>
            </w:r>
          </w:p>
        </w:tc>
      </w:tr>
      <w:tr w14:paraId="7F854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exact"/>
          <w:jc w:val="center"/>
        </w:trPr>
        <w:tc>
          <w:tcPr>
            <w:tcW w:w="508" w:type="dxa"/>
            <w:noWrap/>
            <w:vAlign w:val="center"/>
          </w:tcPr>
          <w:p w14:paraId="06D722E3">
            <w:pPr>
              <w:pStyle w:val="9"/>
              <w:widowControl/>
              <w:spacing w:before="225" w:beforeAutospacing="0" w:after="225" w:afterAutospacing="0" w:line="0" w:lineRule="atLeast"/>
              <w:jc w:val="center"/>
              <w:rPr>
                <w:rFonts w:ascii="仿宋" w:hAnsi="仿宋" w:eastAsia="仿宋" w:cs="仿宋"/>
              </w:rPr>
            </w:pPr>
            <w:r>
              <w:rPr>
                <w:rFonts w:hint="eastAsia" w:ascii="仿宋" w:hAnsi="仿宋" w:eastAsia="仿宋" w:cs="仿宋"/>
              </w:rPr>
              <w:t>1</w:t>
            </w:r>
          </w:p>
        </w:tc>
        <w:tc>
          <w:tcPr>
            <w:tcW w:w="3058" w:type="dxa"/>
            <w:noWrap/>
            <w:vAlign w:val="center"/>
          </w:tcPr>
          <w:p w14:paraId="117BAD5A">
            <w:pPr>
              <w:widowControl/>
              <w:jc w:val="center"/>
              <w:textAlignment w:val="center"/>
              <w:rPr>
                <w:rFonts w:ascii="仿宋" w:hAnsi="仿宋" w:eastAsia="仿宋" w:cs="仿宋"/>
                <w:kern w:val="0"/>
                <w:sz w:val="24"/>
              </w:rPr>
            </w:pPr>
            <w:r>
              <w:rPr>
                <w:rFonts w:hint="eastAsia" w:ascii="仿宋" w:hAnsi="仿宋" w:eastAsia="仿宋" w:cs="仿宋"/>
                <w:szCs w:val="21"/>
              </w:rPr>
              <w:t>机器人实训平台</w:t>
            </w:r>
          </w:p>
        </w:tc>
        <w:tc>
          <w:tcPr>
            <w:tcW w:w="1765" w:type="dxa"/>
            <w:noWrap/>
            <w:vAlign w:val="center"/>
          </w:tcPr>
          <w:p w14:paraId="1098C9A7">
            <w:pPr>
              <w:pStyle w:val="9"/>
              <w:widowControl/>
              <w:shd w:val="clear" w:color="auto" w:fill="FFFFFF"/>
              <w:spacing w:before="0" w:beforeAutospacing="0" w:after="0" w:afterAutospacing="0" w:line="240" w:lineRule="exact"/>
              <w:jc w:val="center"/>
              <w:rPr>
                <w:rFonts w:ascii="仿宋" w:hAnsi="仿宋" w:eastAsia="仿宋" w:cs="仿宋"/>
              </w:rPr>
            </w:pPr>
          </w:p>
        </w:tc>
        <w:tc>
          <w:tcPr>
            <w:tcW w:w="750" w:type="dxa"/>
            <w:noWrap/>
            <w:vAlign w:val="center"/>
          </w:tcPr>
          <w:p w14:paraId="050D29B8">
            <w:pPr>
              <w:widowControl/>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735" w:type="dxa"/>
            <w:noWrap/>
            <w:vAlign w:val="center"/>
          </w:tcPr>
          <w:p w14:paraId="73614836">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4</w:t>
            </w:r>
          </w:p>
        </w:tc>
        <w:tc>
          <w:tcPr>
            <w:tcW w:w="1335" w:type="dxa"/>
            <w:noWrap/>
            <w:vAlign w:val="center"/>
          </w:tcPr>
          <w:p w14:paraId="6BCDD89F">
            <w:pPr>
              <w:pStyle w:val="9"/>
              <w:widowControl/>
              <w:spacing w:before="225" w:beforeAutospacing="0" w:after="225" w:afterAutospacing="0" w:line="0" w:lineRule="atLeast"/>
              <w:jc w:val="center"/>
              <w:rPr>
                <w:rFonts w:ascii="仿宋" w:hAnsi="仿宋" w:eastAsia="仿宋" w:cs="仿宋"/>
              </w:rPr>
            </w:pPr>
          </w:p>
        </w:tc>
        <w:tc>
          <w:tcPr>
            <w:tcW w:w="1250" w:type="dxa"/>
            <w:noWrap/>
            <w:vAlign w:val="center"/>
          </w:tcPr>
          <w:p w14:paraId="71DCA3A1">
            <w:pPr>
              <w:pStyle w:val="9"/>
              <w:widowControl/>
              <w:spacing w:before="225" w:beforeAutospacing="0" w:after="225" w:afterAutospacing="0" w:line="0" w:lineRule="atLeast"/>
              <w:jc w:val="center"/>
              <w:rPr>
                <w:rFonts w:ascii="仿宋" w:hAnsi="仿宋" w:eastAsia="仿宋" w:cs="仿宋"/>
              </w:rPr>
            </w:pPr>
          </w:p>
        </w:tc>
      </w:tr>
      <w:tr w14:paraId="2824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exact"/>
          <w:jc w:val="center"/>
        </w:trPr>
        <w:tc>
          <w:tcPr>
            <w:tcW w:w="3566" w:type="dxa"/>
            <w:gridSpan w:val="2"/>
            <w:noWrap/>
            <w:vAlign w:val="center"/>
          </w:tcPr>
          <w:p w14:paraId="42F3889E">
            <w:pPr>
              <w:pStyle w:val="9"/>
              <w:widowControl/>
              <w:spacing w:before="225" w:beforeAutospacing="0" w:after="225" w:afterAutospacing="0" w:line="0" w:lineRule="atLeast"/>
              <w:jc w:val="center"/>
              <w:rPr>
                <w:b/>
                <w:bCs/>
                <w:highlight w:val="yellow"/>
              </w:rPr>
            </w:pPr>
            <w:r>
              <w:rPr>
                <w:rStyle w:val="13"/>
                <w:rFonts w:hint="eastAsia" w:ascii="仿宋" w:hAnsi="仿宋" w:eastAsia="仿宋" w:cs="仿宋"/>
                <w:bCs/>
                <w:shd w:val="clear" w:color="auto" w:fill="FFFFFF"/>
              </w:rPr>
              <w:t>合计</w:t>
            </w:r>
          </w:p>
        </w:tc>
        <w:tc>
          <w:tcPr>
            <w:tcW w:w="5835" w:type="dxa"/>
            <w:gridSpan w:val="5"/>
            <w:noWrap/>
            <w:vAlign w:val="center"/>
          </w:tcPr>
          <w:p w14:paraId="33EACB3B">
            <w:pPr>
              <w:pStyle w:val="9"/>
              <w:widowControl/>
              <w:tabs>
                <w:tab w:val="left" w:pos="1839"/>
              </w:tabs>
              <w:spacing w:before="225" w:beforeAutospacing="0" w:after="225" w:afterAutospacing="0" w:line="0" w:lineRule="atLeast"/>
              <w:jc w:val="center"/>
              <w:rPr>
                <w:rFonts w:ascii="仿宋" w:hAnsi="仿宋" w:eastAsia="仿宋" w:cs="仿宋"/>
                <w:b/>
                <w:bCs/>
              </w:rPr>
            </w:pPr>
            <w:r>
              <w:rPr>
                <w:rFonts w:hint="eastAsia" w:ascii="仿宋" w:hAnsi="仿宋" w:eastAsia="仿宋" w:cs="仿宋_GB2312"/>
                <w:b/>
                <w:bCs/>
              </w:rPr>
              <w:t>人民币：     元整</w:t>
            </w:r>
            <w:r>
              <w:rPr>
                <w:rFonts w:hint="eastAsia" w:ascii="仿宋" w:hAnsi="仿宋" w:eastAsia="仿宋"/>
                <w:b/>
                <w:bCs/>
              </w:rPr>
              <w:t>（￥     元）</w:t>
            </w:r>
          </w:p>
        </w:tc>
      </w:tr>
    </w:tbl>
    <w:p w14:paraId="1D89769B">
      <w:pPr>
        <w:spacing w:line="340" w:lineRule="exact"/>
        <w:jc w:val="left"/>
        <w:rPr>
          <w:rFonts w:ascii="仿宋" w:hAnsi="仿宋" w:eastAsia="仿宋"/>
          <w:b/>
          <w:sz w:val="24"/>
        </w:rPr>
      </w:pPr>
    </w:p>
    <w:p w14:paraId="7A21A52E">
      <w:pPr>
        <w:rPr>
          <w:rFonts w:ascii="仿宋" w:hAnsi="仿宋" w:eastAsia="仿宋" w:cs="仿宋_GB2312"/>
          <w:b/>
          <w:szCs w:val="21"/>
        </w:rPr>
      </w:pPr>
      <w:r>
        <w:rPr>
          <w:rFonts w:hint="eastAsia" w:ascii="仿宋" w:hAnsi="仿宋" w:eastAsia="仿宋" w:cs="仿宋_GB2312"/>
          <w:b/>
          <w:szCs w:val="21"/>
        </w:rPr>
        <w:t>注：以上投标报价包含货物费、辅材辅料费、安装调试费、税费等全部费用在内，</w:t>
      </w:r>
    </w:p>
    <w:p w14:paraId="3CC81335">
      <w:pPr>
        <w:widowControl/>
        <w:jc w:val="left"/>
        <w:rPr>
          <w:rFonts w:ascii="仿宋" w:hAnsi="仿宋" w:eastAsia="仿宋"/>
          <w:sz w:val="24"/>
        </w:rPr>
      </w:pPr>
    </w:p>
    <w:p w14:paraId="72222AD5">
      <w:pPr>
        <w:widowControl/>
        <w:ind w:firstLine="5040" w:firstLineChars="2100"/>
        <w:jc w:val="left"/>
        <w:rPr>
          <w:rFonts w:ascii="仿宋" w:hAnsi="仿宋" w:eastAsia="仿宋"/>
          <w:sz w:val="24"/>
        </w:rPr>
      </w:pPr>
      <w:r>
        <w:rPr>
          <w:rFonts w:hint="eastAsia" w:ascii="仿宋" w:hAnsi="仿宋" w:eastAsia="仿宋"/>
          <w:sz w:val="24"/>
        </w:rPr>
        <w:t>授权代表签字：</w:t>
      </w:r>
    </w:p>
    <w:p w14:paraId="63B89250">
      <w:pPr>
        <w:spacing w:line="360" w:lineRule="auto"/>
        <w:ind w:right="120" w:firstLine="5040" w:firstLineChars="2100"/>
        <w:jc w:val="left"/>
        <w:rPr>
          <w:rFonts w:ascii="仿宋" w:hAnsi="仿宋" w:eastAsia="仿宋"/>
          <w:sz w:val="24"/>
        </w:rPr>
      </w:pPr>
      <w:r>
        <w:rPr>
          <w:rFonts w:hint="eastAsia" w:ascii="仿宋" w:hAnsi="仿宋" w:eastAsia="仿宋"/>
          <w:sz w:val="24"/>
        </w:rPr>
        <w:t>投标人（盖章）：</w:t>
      </w:r>
    </w:p>
    <w:p w14:paraId="51CD3439">
      <w:pPr>
        <w:widowControl/>
        <w:jc w:val="center"/>
        <w:rPr>
          <w:rFonts w:ascii="仿宋" w:hAnsi="仿宋" w:eastAsia="仿宋"/>
          <w:sz w:val="24"/>
        </w:rPr>
      </w:pPr>
      <w:r>
        <w:rPr>
          <w:rFonts w:hint="eastAsia" w:ascii="仿宋" w:hAnsi="仿宋" w:eastAsia="仿宋"/>
          <w:sz w:val="24"/>
        </w:rPr>
        <w:t xml:space="preserve">                                       2024年  月 </w:t>
      </w:r>
    </w:p>
    <w:p w14:paraId="6597787C">
      <w:pPr>
        <w:pStyle w:val="3"/>
        <w:rPr>
          <w:rFonts w:ascii="仿宋" w:hAnsi="仿宋" w:eastAsia="仿宋"/>
          <w:sz w:val="24"/>
        </w:rPr>
      </w:pPr>
      <w:r>
        <w:rPr>
          <w:rFonts w:hint="eastAsia" w:ascii="仿宋" w:hAnsi="仿宋" w:eastAsia="仿宋"/>
          <w:sz w:val="24"/>
        </w:rPr>
        <w:t>附件2</w:t>
      </w:r>
    </w:p>
    <w:p w14:paraId="1F9FA49E">
      <w:pPr>
        <w:spacing w:before="100" w:line="340" w:lineRule="exact"/>
        <w:ind w:firstLine="723" w:firstLineChars="200"/>
        <w:jc w:val="center"/>
        <w:rPr>
          <w:rFonts w:ascii="仿宋" w:hAnsi="仿宋" w:eastAsia="仿宋"/>
          <w:b/>
          <w:sz w:val="36"/>
          <w:szCs w:val="36"/>
        </w:rPr>
      </w:pPr>
      <w:r>
        <w:rPr>
          <w:rFonts w:hint="eastAsia" w:ascii="仿宋" w:hAnsi="仿宋" w:eastAsia="仿宋"/>
          <w:b/>
          <w:sz w:val="36"/>
          <w:szCs w:val="36"/>
        </w:rPr>
        <w:t>技术参数响应表</w:t>
      </w:r>
    </w:p>
    <w:p w14:paraId="13788799">
      <w:pPr>
        <w:rPr>
          <w:rFonts w:hint="eastAsia" w:ascii="仿宋" w:hAnsi="仿宋" w:eastAsia="仿宋"/>
          <w:b/>
          <w:sz w:val="24"/>
        </w:rPr>
      </w:pPr>
    </w:p>
    <w:p w14:paraId="0C55F615">
      <w:pPr>
        <w:rPr>
          <w:rFonts w:ascii="仿宋" w:hAnsi="仿宋" w:eastAsia="仿宋" w:cs="宋体"/>
          <w:kern w:val="0"/>
          <w:sz w:val="24"/>
        </w:rPr>
      </w:pPr>
      <w:r>
        <w:rPr>
          <w:rFonts w:hint="eastAsia" w:ascii="仿宋" w:hAnsi="仿宋" w:eastAsia="仿宋"/>
          <w:b/>
          <w:sz w:val="24"/>
        </w:rPr>
        <w:t>项目名称：</w:t>
      </w:r>
      <w:r>
        <w:rPr>
          <w:rFonts w:hint="eastAsia" w:ascii="仿宋" w:hAnsi="仿宋" w:eastAsia="仿宋" w:cs="仿宋_GB2312"/>
          <w:b/>
          <w:sz w:val="24"/>
        </w:rPr>
        <w:t>湖州师范学院智能制造专业机器人实训平台采购项目</w:t>
      </w:r>
    </w:p>
    <w:p w14:paraId="6B24CD14">
      <w:pPr>
        <w:spacing w:before="100" w:line="340" w:lineRule="exact"/>
        <w:jc w:val="left"/>
        <w:rPr>
          <w:rFonts w:hint="default" w:ascii="仿宋" w:hAnsi="仿宋" w:eastAsia="仿宋"/>
          <w:b/>
          <w:sz w:val="36"/>
          <w:szCs w:val="36"/>
          <w:lang w:val="en-US" w:eastAsia="zh-CN"/>
        </w:rPr>
      </w:pPr>
      <w:r>
        <w:rPr>
          <w:rFonts w:hint="eastAsia" w:ascii="仿宋" w:hAnsi="仿宋" w:eastAsia="仿宋"/>
          <w:b/>
          <w:sz w:val="24"/>
        </w:rPr>
        <w:t>项目编号：</w:t>
      </w:r>
      <w:r>
        <w:rPr>
          <w:rFonts w:hint="eastAsia" w:ascii="仿宋" w:hAnsi="仿宋" w:eastAsia="仿宋"/>
          <w:sz w:val="24"/>
        </w:rPr>
        <w:t>XZ2024-</w:t>
      </w:r>
      <w:r>
        <w:rPr>
          <w:rFonts w:hint="eastAsia" w:ascii="仿宋" w:hAnsi="仿宋" w:eastAsia="仿宋"/>
          <w:sz w:val="24"/>
          <w:lang w:val="en-US" w:eastAsia="zh-CN"/>
        </w:rPr>
        <w:t>159</w:t>
      </w:r>
      <w:bookmarkStart w:id="0" w:name="_GoBack"/>
      <w:bookmarkEnd w:id="0"/>
    </w:p>
    <w:tbl>
      <w:tblPr>
        <w:tblStyle w:val="10"/>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2041"/>
        <w:gridCol w:w="3139"/>
        <w:gridCol w:w="2660"/>
        <w:gridCol w:w="1493"/>
      </w:tblGrid>
      <w:tr w14:paraId="78EC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629" w:type="dxa"/>
            <w:noWrap/>
            <w:vAlign w:val="center"/>
          </w:tcPr>
          <w:p w14:paraId="4D5F916E">
            <w:pPr>
              <w:pStyle w:val="9"/>
              <w:widowControl/>
              <w:spacing w:before="225" w:beforeAutospacing="0" w:after="225" w:afterAutospacing="0" w:line="0" w:lineRule="atLeast"/>
              <w:jc w:val="center"/>
              <w:rPr>
                <w:rFonts w:ascii="仿宋" w:hAnsi="仿宋" w:eastAsia="仿宋" w:cs="仿宋"/>
                <w:b/>
              </w:rPr>
            </w:pPr>
            <w:r>
              <w:rPr>
                <w:rFonts w:hint="eastAsia" w:ascii="仿宋" w:hAnsi="仿宋" w:eastAsia="仿宋" w:cs="仿宋"/>
                <w:b/>
              </w:rPr>
              <w:t>序号</w:t>
            </w:r>
          </w:p>
        </w:tc>
        <w:tc>
          <w:tcPr>
            <w:tcW w:w="2041" w:type="dxa"/>
            <w:noWrap/>
            <w:vAlign w:val="center"/>
          </w:tcPr>
          <w:p w14:paraId="0E55FDD6">
            <w:pPr>
              <w:pStyle w:val="9"/>
              <w:widowControl/>
              <w:spacing w:before="225" w:beforeAutospacing="0" w:after="225" w:afterAutospacing="0" w:line="0" w:lineRule="atLeast"/>
              <w:jc w:val="center"/>
              <w:rPr>
                <w:rFonts w:ascii="仿宋" w:hAnsi="仿宋" w:eastAsia="仿宋" w:cs="仿宋"/>
                <w:b/>
              </w:rPr>
            </w:pPr>
            <w:r>
              <w:rPr>
                <w:rFonts w:hint="eastAsia" w:ascii="仿宋" w:hAnsi="仿宋" w:eastAsia="仿宋" w:cs="仿宋"/>
                <w:b/>
              </w:rPr>
              <w:t>名称</w:t>
            </w:r>
          </w:p>
        </w:tc>
        <w:tc>
          <w:tcPr>
            <w:tcW w:w="3139" w:type="dxa"/>
            <w:noWrap/>
            <w:vAlign w:val="center"/>
          </w:tcPr>
          <w:p w14:paraId="2F169F07">
            <w:pPr>
              <w:pStyle w:val="9"/>
              <w:widowControl/>
              <w:spacing w:before="225" w:beforeAutospacing="0" w:after="225" w:afterAutospacing="0" w:line="0" w:lineRule="atLeast"/>
              <w:jc w:val="center"/>
              <w:rPr>
                <w:rFonts w:ascii="仿宋" w:hAnsi="仿宋" w:eastAsia="仿宋" w:cs="仿宋"/>
                <w:b/>
              </w:rPr>
            </w:pPr>
            <w:r>
              <w:rPr>
                <w:rFonts w:hint="eastAsia" w:ascii="仿宋" w:hAnsi="仿宋" w:eastAsia="仿宋" w:cs="仿宋"/>
                <w:b/>
              </w:rPr>
              <w:t>技术参数需求</w:t>
            </w:r>
          </w:p>
        </w:tc>
        <w:tc>
          <w:tcPr>
            <w:tcW w:w="2660" w:type="dxa"/>
            <w:noWrap/>
            <w:vAlign w:val="center"/>
          </w:tcPr>
          <w:p w14:paraId="6C418D48">
            <w:pPr>
              <w:pStyle w:val="9"/>
              <w:widowControl/>
              <w:spacing w:before="225" w:beforeAutospacing="0" w:after="225" w:afterAutospacing="0" w:line="0" w:lineRule="atLeast"/>
              <w:jc w:val="center"/>
              <w:rPr>
                <w:rFonts w:ascii="仿宋" w:hAnsi="仿宋" w:eastAsia="仿宋" w:cs="仿宋"/>
                <w:b/>
              </w:rPr>
            </w:pPr>
            <w:r>
              <w:rPr>
                <w:rFonts w:hint="eastAsia" w:ascii="仿宋" w:hAnsi="仿宋" w:eastAsia="仿宋" w:cs="仿宋"/>
                <w:b/>
              </w:rPr>
              <w:t>投标产品技术参数</w:t>
            </w:r>
          </w:p>
        </w:tc>
        <w:tc>
          <w:tcPr>
            <w:tcW w:w="1493" w:type="dxa"/>
            <w:noWrap/>
            <w:vAlign w:val="center"/>
          </w:tcPr>
          <w:p w14:paraId="0F627A7C">
            <w:pPr>
              <w:pStyle w:val="9"/>
              <w:widowControl/>
              <w:spacing w:before="225" w:beforeAutospacing="0" w:after="225" w:afterAutospacing="0" w:line="0" w:lineRule="atLeast"/>
              <w:jc w:val="center"/>
              <w:rPr>
                <w:rFonts w:ascii="仿宋" w:hAnsi="仿宋" w:eastAsia="仿宋" w:cs="仿宋"/>
                <w:b/>
              </w:rPr>
            </w:pPr>
            <w:r>
              <w:rPr>
                <w:rFonts w:hint="eastAsia" w:ascii="仿宋" w:hAnsi="仿宋" w:eastAsia="仿宋" w:cs="仿宋"/>
                <w:b/>
              </w:rPr>
              <w:t>偏离情况</w:t>
            </w:r>
          </w:p>
        </w:tc>
      </w:tr>
      <w:tr w14:paraId="6B67A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31BE4945">
            <w:pPr>
              <w:widowControl/>
              <w:jc w:val="center"/>
              <w:textAlignment w:val="center"/>
              <w:rPr>
                <w:rFonts w:ascii="仿宋" w:hAnsi="仿宋" w:eastAsia="仿宋" w:cs="仿宋"/>
                <w:sz w:val="24"/>
              </w:rPr>
            </w:pPr>
            <w:r>
              <w:rPr>
                <w:rFonts w:hint="eastAsia" w:ascii="仿宋" w:hAnsi="仿宋" w:eastAsia="仿宋" w:cs="仿宋"/>
                <w:sz w:val="24"/>
              </w:rPr>
              <w:t>1</w:t>
            </w:r>
          </w:p>
        </w:tc>
        <w:tc>
          <w:tcPr>
            <w:tcW w:w="2041" w:type="dxa"/>
            <w:noWrap/>
            <w:vAlign w:val="center"/>
          </w:tcPr>
          <w:p w14:paraId="51171299">
            <w:pPr>
              <w:jc w:val="center"/>
              <w:rPr>
                <w:rFonts w:ascii="仿宋" w:hAnsi="仿宋" w:eastAsia="仿宋" w:cs="宋体"/>
                <w:kern w:val="0"/>
                <w:sz w:val="24"/>
              </w:rPr>
            </w:pPr>
            <w:r>
              <w:rPr>
                <w:rFonts w:hint="eastAsia" w:ascii="仿宋" w:hAnsi="仿宋" w:eastAsia="仿宋" w:cs="仿宋"/>
                <w:szCs w:val="21"/>
              </w:rPr>
              <w:t>机器人实训平台</w:t>
            </w:r>
          </w:p>
        </w:tc>
        <w:tc>
          <w:tcPr>
            <w:tcW w:w="3139" w:type="dxa"/>
            <w:noWrap/>
            <w:vAlign w:val="center"/>
          </w:tcPr>
          <w:p w14:paraId="7ED9CBFE">
            <w:pPr>
              <w:widowControl/>
              <w:jc w:val="left"/>
              <w:textAlignment w:val="center"/>
              <w:rPr>
                <w:rFonts w:ascii="仿宋" w:hAnsi="仿宋" w:eastAsia="仿宋" w:cs="仿宋"/>
                <w:sz w:val="24"/>
              </w:rPr>
            </w:pPr>
          </w:p>
        </w:tc>
        <w:tc>
          <w:tcPr>
            <w:tcW w:w="2660" w:type="dxa"/>
            <w:noWrap/>
            <w:vAlign w:val="center"/>
          </w:tcPr>
          <w:p w14:paraId="1525FABB">
            <w:pPr>
              <w:widowControl/>
              <w:jc w:val="left"/>
              <w:textAlignment w:val="center"/>
              <w:rPr>
                <w:rFonts w:ascii="仿宋" w:hAnsi="仿宋" w:eastAsia="仿宋" w:cs="仿宋"/>
                <w:sz w:val="24"/>
              </w:rPr>
            </w:pPr>
          </w:p>
        </w:tc>
        <w:tc>
          <w:tcPr>
            <w:tcW w:w="1493" w:type="dxa"/>
            <w:noWrap/>
            <w:vAlign w:val="center"/>
          </w:tcPr>
          <w:p w14:paraId="15FB7116">
            <w:pPr>
              <w:rPr>
                <w:rFonts w:ascii="仿宋" w:hAnsi="仿宋" w:eastAsia="仿宋" w:cs="宋体"/>
                <w:kern w:val="0"/>
                <w:sz w:val="24"/>
              </w:rPr>
            </w:pPr>
          </w:p>
        </w:tc>
      </w:tr>
    </w:tbl>
    <w:p w14:paraId="59B9B12F">
      <w:pPr>
        <w:spacing w:line="340" w:lineRule="exact"/>
        <w:jc w:val="left"/>
        <w:rPr>
          <w:rFonts w:ascii="仿宋" w:hAnsi="仿宋" w:eastAsia="仿宋"/>
          <w:b/>
          <w:sz w:val="24"/>
        </w:rPr>
      </w:pPr>
    </w:p>
    <w:p w14:paraId="0D26D27C">
      <w:pPr>
        <w:rPr>
          <w:rFonts w:ascii="仿宋" w:hAnsi="仿宋" w:eastAsia="仿宋" w:cs="仿宋_GB2312"/>
          <w:b/>
          <w:szCs w:val="21"/>
        </w:rPr>
      </w:pPr>
      <w:r>
        <w:rPr>
          <w:rFonts w:hint="eastAsia" w:ascii="仿宋" w:hAnsi="仿宋" w:eastAsia="仿宋" w:cs="仿宋_GB2312"/>
          <w:b/>
          <w:szCs w:val="21"/>
        </w:rPr>
        <w:t>注：根据技术参数需求表制作，技术参数存在负偏离作无效标处理。</w:t>
      </w:r>
    </w:p>
    <w:p w14:paraId="0D88F438">
      <w:pPr>
        <w:widowControl/>
        <w:jc w:val="left"/>
        <w:rPr>
          <w:rFonts w:ascii="仿宋" w:hAnsi="仿宋" w:eastAsia="仿宋" w:cs="仿宋_GB2312"/>
          <w:b/>
          <w:szCs w:val="21"/>
        </w:rPr>
      </w:pPr>
    </w:p>
    <w:p w14:paraId="4634830F">
      <w:pPr>
        <w:widowControl/>
        <w:ind w:firstLine="5040" w:firstLineChars="2100"/>
        <w:jc w:val="left"/>
        <w:rPr>
          <w:rFonts w:ascii="仿宋" w:hAnsi="仿宋" w:eastAsia="仿宋"/>
          <w:sz w:val="24"/>
        </w:rPr>
      </w:pPr>
    </w:p>
    <w:p w14:paraId="31EC8C22">
      <w:pPr>
        <w:widowControl/>
        <w:ind w:firstLine="5040" w:firstLineChars="2100"/>
        <w:jc w:val="left"/>
        <w:rPr>
          <w:rFonts w:ascii="仿宋" w:hAnsi="仿宋" w:eastAsia="仿宋"/>
          <w:sz w:val="24"/>
        </w:rPr>
      </w:pPr>
      <w:r>
        <w:rPr>
          <w:rFonts w:hint="eastAsia" w:ascii="仿宋" w:hAnsi="仿宋" w:eastAsia="仿宋"/>
          <w:sz w:val="24"/>
        </w:rPr>
        <w:t>授权代表签字：</w:t>
      </w:r>
    </w:p>
    <w:p w14:paraId="4C47E404">
      <w:pPr>
        <w:spacing w:line="360" w:lineRule="auto"/>
        <w:ind w:right="120" w:firstLine="5040" w:firstLineChars="2100"/>
        <w:jc w:val="left"/>
        <w:rPr>
          <w:rFonts w:ascii="仿宋" w:hAnsi="仿宋" w:eastAsia="仿宋"/>
          <w:sz w:val="24"/>
        </w:rPr>
      </w:pPr>
      <w:r>
        <w:rPr>
          <w:rFonts w:hint="eastAsia" w:ascii="仿宋" w:hAnsi="仿宋" w:eastAsia="仿宋"/>
          <w:sz w:val="24"/>
        </w:rPr>
        <w:t>投标人（盖章）：</w:t>
      </w:r>
    </w:p>
    <w:p w14:paraId="51B2BAD3">
      <w:pPr>
        <w:ind w:firstLine="5040" w:firstLineChars="2100"/>
        <w:rPr>
          <w:rFonts w:ascii="仿宋" w:hAnsi="仿宋" w:eastAsia="仿宋"/>
          <w:b/>
          <w:sz w:val="24"/>
        </w:rPr>
      </w:pPr>
      <w:r>
        <w:rPr>
          <w:rFonts w:hint="eastAsia" w:ascii="仿宋" w:hAnsi="仿宋" w:eastAsia="仿宋"/>
          <w:sz w:val="24"/>
        </w:rPr>
        <w:t>2024</w:t>
      </w:r>
      <w:r>
        <w:rPr>
          <w:rFonts w:hint="eastAsia"/>
        </w:rPr>
        <w:t>年   月   日</w:t>
      </w:r>
    </w:p>
    <w:p w14:paraId="1F6950E1">
      <w:pPr>
        <w:pStyle w:val="3"/>
      </w:pPr>
    </w:p>
    <w:sectPr>
      <w:pgSz w:w="11906" w:h="16838"/>
      <w:pgMar w:top="1134" w:right="1020" w:bottom="1134" w:left="102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hjYjg2YjAxNzY3MDBhNjkyZTNiZTI0YWNmZWNhMWUifQ=="/>
  </w:docVars>
  <w:rsids>
    <w:rsidRoot w:val="003021B3"/>
    <w:rsid w:val="0000054B"/>
    <w:rsid w:val="00004BC3"/>
    <w:rsid w:val="00016058"/>
    <w:rsid w:val="00017251"/>
    <w:rsid w:val="00033134"/>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F611C"/>
    <w:rsid w:val="00103DF6"/>
    <w:rsid w:val="00103E96"/>
    <w:rsid w:val="00107645"/>
    <w:rsid w:val="00114986"/>
    <w:rsid w:val="00124959"/>
    <w:rsid w:val="0013413B"/>
    <w:rsid w:val="00142043"/>
    <w:rsid w:val="001424F5"/>
    <w:rsid w:val="00164D28"/>
    <w:rsid w:val="00170EF8"/>
    <w:rsid w:val="001758ED"/>
    <w:rsid w:val="00181813"/>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2CA4"/>
    <w:rsid w:val="00235100"/>
    <w:rsid w:val="00235FE7"/>
    <w:rsid w:val="00236A7F"/>
    <w:rsid w:val="00236F5F"/>
    <w:rsid w:val="002458CA"/>
    <w:rsid w:val="002468BA"/>
    <w:rsid w:val="00255EE9"/>
    <w:rsid w:val="00260836"/>
    <w:rsid w:val="002670D9"/>
    <w:rsid w:val="00272ACA"/>
    <w:rsid w:val="00297367"/>
    <w:rsid w:val="002A6B23"/>
    <w:rsid w:val="002A7110"/>
    <w:rsid w:val="002B5C50"/>
    <w:rsid w:val="002C22FC"/>
    <w:rsid w:val="002C5B4A"/>
    <w:rsid w:val="002D47CE"/>
    <w:rsid w:val="002D47DD"/>
    <w:rsid w:val="002D5E52"/>
    <w:rsid w:val="002E558C"/>
    <w:rsid w:val="003021B3"/>
    <w:rsid w:val="00312AAD"/>
    <w:rsid w:val="00312E86"/>
    <w:rsid w:val="003154AB"/>
    <w:rsid w:val="00316E95"/>
    <w:rsid w:val="00324436"/>
    <w:rsid w:val="00331686"/>
    <w:rsid w:val="00342BB1"/>
    <w:rsid w:val="00354DFE"/>
    <w:rsid w:val="003674A5"/>
    <w:rsid w:val="00367BCF"/>
    <w:rsid w:val="003720F1"/>
    <w:rsid w:val="00382B95"/>
    <w:rsid w:val="00384CBE"/>
    <w:rsid w:val="00385179"/>
    <w:rsid w:val="00387E0F"/>
    <w:rsid w:val="00390C90"/>
    <w:rsid w:val="00391C4B"/>
    <w:rsid w:val="00393E06"/>
    <w:rsid w:val="00396BC9"/>
    <w:rsid w:val="003B2A77"/>
    <w:rsid w:val="003B6995"/>
    <w:rsid w:val="003C19D7"/>
    <w:rsid w:val="003C2DA7"/>
    <w:rsid w:val="003E6487"/>
    <w:rsid w:val="00407F40"/>
    <w:rsid w:val="0041462C"/>
    <w:rsid w:val="00432D33"/>
    <w:rsid w:val="00433ED5"/>
    <w:rsid w:val="0043498D"/>
    <w:rsid w:val="004368C6"/>
    <w:rsid w:val="00441BE4"/>
    <w:rsid w:val="00460BD6"/>
    <w:rsid w:val="004749F2"/>
    <w:rsid w:val="004770CB"/>
    <w:rsid w:val="00483CE6"/>
    <w:rsid w:val="00485A07"/>
    <w:rsid w:val="00490B6F"/>
    <w:rsid w:val="00494C63"/>
    <w:rsid w:val="004A2667"/>
    <w:rsid w:val="004A56B6"/>
    <w:rsid w:val="004A758A"/>
    <w:rsid w:val="004B0ADF"/>
    <w:rsid w:val="004B5002"/>
    <w:rsid w:val="004C1F18"/>
    <w:rsid w:val="004C72AD"/>
    <w:rsid w:val="004D1DF2"/>
    <w:rsid w:val="004F36E3"/>
    <w:rsid w:val="00503C41"/>
    <w:rsid w:val="005269E8"/>
    <w:rsid w:val="00535608"/>
    <w:rsid w:val="00542203"/>
    <w:rsid w:val="00542BC8"/>
    <w:rsid w:val="005469F4"/>
    <w:rsid w:val="0055543E"/>
    <w:rsid w:val="00566731"/>
    <w:rsid w:val="00572394"/>
    <w:rsid w:val="0058019E"/>
    <w:rsid w:val="0058789F"/>
    <w:rsid w:val="005930D7"/>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CA"/>
    <w:rsid w:val="00672A18"/>
    <w:rsid w:val="00680592"/>
    <w:rsid w:val="006841CC"/>
    <w:rsid w:val="00686EBA"/>
    <w:rsid w:val="0069035B"/>
    <w:rsid w:val="00692B20"/>
    <w:rsid w:val="00696174"/>
    <w:rsid w:val="006A7822"/>
    <w:rsid w:val="006B62D4"/>
    <w:rsid w:val="006C1E8B"/>
    <w:rsid w:val="006C1EAD"/>
    <w:rsid w:val="006C2194"/>
    <w:rsid w:val="006C48B4"/>
    <w:rsid w:val="006C4AEC"/>
    <w:rsid w:val="006C673A"/>
    <w:rsid w:val="006E4075"/>
    <w:rsid w:val="00704A2E"/>
    <w:rsid w:val="00707602"/>
    <w:rsid w:val="007128AE"/>
    <w:rsid w:val="007163A5"/>
    <w:rsid w:val="00720803"/>
    <w:rsid w:val="00735C38"/>
    <w:rsid w:val="00736AE9"/>
    <w:rsid w:val="00740808"/>
    <w:rsid w:val="00742BA7"/>
    <w:rsid w:val="00745CE3"/>
    <w:rsid w:val="007472C6"/>
    <w:rsid w:val="007502F8"/>
    <w:rsid w:val="00762744"/>
    <w:rsid w:val="00767AA4"/>
    <w:rsid w:val="0077285A"/>
    <w:rsid w:val="00776764"/>
    <w:rsid w:val="00792A46"/>
    <w:rsid w:val="00793139"/>
    <w:rsid w:val="007971F4"/>
    <w:rsid w:val="007B091D"/>
    <w:rsid w:val="007B12EB"/>
    <w:rsid w:val="007E1B1C"/>
    <w:rsid w:val="007E25CA"/>
    <w:rsid w:val="007E39F7"/>
    <w:rsid w:val="007E518B"/>
    <w:rsid w:val="007F358A"/>
    <w:rsid w:val="007F573C"/>
    <w:rsid w:val="007F6F3B"/>
    <w:rsid w:val="00817CF6"/>
    <w:rsid w:val="00821D13"/>
    <w:rsid w:val="0082407B"/>
    <w:rsid w:val="00833C37"/>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6DA6"/>
    <w:rsid w:val="009C1307"/>
    <w:rsid w:val="009C2C4C"/>
    <w:rsid w:val="009C72E0"/>
    <w:rsid w:val="009D2BF9"/>
    <w:rsid w:val="009D446B"/>
    <w:rsid w:val="009E20C0"/>
    <w:rsid w:val="009E2B7C"/>
    <w:rsid w:val="009E4658"/>
    <w:rsid w:val="009E5E8E"/>
    <w:rsid w:val="009F0D87"/>
    <w:rsid w:val="009F4AE8"/>
    <w:rsid w:val="00A02417"/>
    <w:rsid w:val="00A36549"/>
    <w:rsid w:val="00A375C7"/>
    <w:rsid w:val="00A37B0D"/>
    <w:rsid w:val="00A42819"/>
    <w:rsid w:val="00A60C0E"/>
    <w:rsid w:val="00A6529F"/>
    <w:rsid w:val="00A66C3C"/>
    <w:rsid w:val="00A67D6C"/>
    <w:rsid w:val="00A714AC"/>
    <w:rsid w:val="00A767D7"/>
    <w:rsid w:val="00A85C38"/>
    <w:rsid w:val="00A8709D"/>
    <w:rsid w:val="00AA5614"/>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2CBE"/>
    <w:rsid w:val="00BF1298"/>
    <w:rsid w:val="00BF2C02"/>
    <w:rsid w:val="00BF650B"/>
    <w:rsid w:val="00C02326"/>
    <w:rsid w:val="00C0739F"/>
    <w:rsid w:val="00C113FC"/>
    <w:rsid w:val="00C123FD"/>
    <w:rsid w:val="00C1298A"/>
    <w:rsid w:val="00C1422E"/>
    <w:rsid w:val="00C142F6"/>
    <w:rsid w:val="00C2006F"/>
    <w:rsid w:val="00C234BB"/>
    <w:rsid w:val="00C238FB"/>
    <w:rsid w:val="00C45B1C"/>
    <w:rsid w:val="00C51B6C"/>
    <w:rsid w:val="00C51BFF"/>
    <w:rsid w:val="00C51ECD"/>
    <w:rsid w:val="00C555A3"/>
    <w:rsid w:val="00C64054"/>
    <w:rsid w:val="00C6760E"/>
    <w:rsid w:val="00C82125"/>
    <w:rsid w:val="00C85DA4"/>
    <w:rsid w:val="00C91A67"/>
    <w:rsid w:val="00C9740E"/>
    <w:rsid w:val="00CA04EA"/>
    <w:rsid w:val="00CA0E12"/>
    <w:rsid w:val="00CB2B7F"/>
    <w:rsid w:val="00CB4182"/>
    <w:rsid w:val="00CB5A49"/>
    <w:rsid w:val="00CC2986"/>
    <w:rsid w:val="00CC66FE"/>
    <w:rsid w:val="00CC6A72"/>
    <w:rsid w:val="00CF4A13"/>
    <w:rsid w:val="00D115D0"/>
    <w:rsid w:val="00D14A54"/>
    <w:rsid w:val="00D24FB3"/>
    <w:rsid w:val="00D256F7"/>
    <w:rsid w:val="00D409C6"/>
    <w:rsid w:val="00D51646"/>
    <w:rsid w:val="00D5379A"/>
    <w:rsid w:val="00D56ED5"/>
    <w:rsid w:val="00D7324C"/>
    <w:rsid w:val="00D80D92"/>
    <w:rsid w:val="00D8779A"/>
    <w:rsid w:val="00DA5F78"/>
    <w:rsid w:val="00DA600B"/>
    <w:rsid w:val="00DB25AF"/>
    <w:rsid w:val="00DD4903"/>
    <w:rsid w:val="00DE0174"/>
    <w:rsid w:val="00DE0995"/>
    <w:rsid w:val="00DE3AF7"/>
    <w:rsid w:val="00DF5FCF"/>
    <w:rsid w:val="00E02889"/>
    <w:rsid w:val="00E1119D"/>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0B9D"/>
    <w:rsid w:val="00F11988"/>
    <w:rsid w:val="00F2641B"/>
    <w:rsid w:val="00F26BB2"/>
    <w:rsid w:val="00F32C48"/>
    <w:rsid w:val="00F54AD8"/>
    <w:rsid w:val="00F66634"/>
    <w:rsid w:val="00F83187"/>
    <w:rsid w:val="00FA410B"/>
    <w:rsid w:val="00FA5BA2"/>
    <w:rsid w:val="00FA7ECF"/>
    <w:rsid w:val="00FB1E64"/>
    <w:rsid w:val="00FB5C19"/>
    <w:rsid w:val="00FB6783"/>
    <w:rsid w:val="00FC379E"/>
    <w:rsid w:val="00FC4D9D"/>
    <w:rsid w:val="00FD1507"/>
    <w:rsid w:val="00FD1F04"/>
    <w:rsid w:val="00FF654E"/>
    <w:rsid w:val="00FF76BD"/>
    <w:rsid w:val="0194449E"/>
    <w:rsid w:val="02291B0C"/>
    <w:rsid w:val="033E16C0"/>
    <w:rsid w:val="03635531"/>
    <w:rsid w:val="04554790"/>
    <w:rsid w:val="04856475"/>
    <w:rsid w:val="0524269F"/>
    <w:rsid w:val="06EB1B07"/>
    <w:rsid w:val="07515A24"/>
    <w:rsid w:val="083258FA"/>
    <w:rsid w:val="0B51390B"/>
    <w:rsid w:val="0D8D05D5"/>
    <w:rsid w:val="0DCC42DB"/>
    <w:rsid w:val="0E704CDD"/>
    <w:rsid w:val="0EDE3359"/>
    <w:rsid w:val="0F98254C"/>
    <w:rsid w:val="0FC449CF"/>
    <w:rsid w:val="111C745A"/>
    <w:rsid w:val="1190647B"/>
    <w:rsid w:val="133A347D"/>
    <w:rsid w:val="13A21851"/>
    <w:rsid w:val="14DE5154"/>
    <w:rsid w:val="14F90DB5"/>
    <w:rsid w:val="161A7DAE"/>
    <w:rsid w:val="17B0335E"/>
    <w:rsid w:val="17DF0739"/>
    <w:rsid w:val="180E5252"/>
    <w:rsid w:val="19257662"/>
    <w:rsid w:val="195A0741"/>
    <w:rsid w:val="1C642F39"/>
    <w:rsid w:val="1D126DCC"/>
    <w:rsid w:val="1D3C5034"/>
    <w:rsid w:val="1E305020"/>
    <w:rsid w:val="1F4633B6"/>
    <w:rsid w:val="1FDD1DEC"/>
    <w:rsid w:val="21C3200F"/>
    <w:rsid w:val="22AE5EF6"/>
    <w:rsid w:val="25051996"/>
    <w:rsid w:val="25823B8B"/>
    <w:rsid w:val="25D5610C"/>
    <w:rsid w:val="2658485C"/>
    <w:rsid w:val="26F54DDC"/>
    <w:rsid w:val="27127015"/>
    <w:rsid w:val="273267AE"/>
    <w:rsid w:val="28312778"/>
    <w:rsid w:val="2A0C39C4"/>
    <w:rsid w:val="2A5C6402"/>
    <w:rsid w:val="2D885BE3"/>
    <w:rsid w:val="2E4C4D06"/>
    <w:rsid w:val="3080083E"/>
    <w:rsid w:val="31104361"/>
    <w:rsid w:val="325651D2"/>
    <w:rsid w:val="326C289B"/>
    <w:rsid w:val="33E82472"/>
    <w:rsid w:val="34134E1A"/>
    <w:rsid w:val="34CA09B9"/>
    <w:rsid w:val="35E957AA"/>
    <w:rsid w:val="377B7BA2"/>
    <w:rsid w:val="38206741"/>
    <w:rsid w:val="38687442"/>
    <w:rsid w:val="395E1740"/>
    <w:rsid w:val="3A307CB5"/>
    <w:rsid w:val="3AED1AEE"/>
    <w:rsid w:val="3B233FB1"/>
    <w:rsid w:val="3C084CA0"/>
    <w:rsid w:val="3C1C5C1D"/>
    <w:rsid w:val="3E233B12"/>
    <w:rsid w:val="3E3901C8"/>
    <w:rsid w:val="430943F2"/>
    <w:rsid w:val="44AF77AE"/>
    <w:rsid w:val="453A4CFA"/>
    <w:rsid w:val="47887FE5"/>
    <w:rsid w:val="47C15E0F"/>
    <w:rsid w:val="47C663F9"/>
    <w:rsid w:val="488976ED"/>
    <w:rsid w:val="48E61849"/>
    <w:rsid w:val="48F57FE5"/>
    <w:rsid w:val="4925491A"/>
    <w:rsid w:val="4D496342"/>
    <w:rsid w:val="4EFF0C80"/>
    <w:rsid w:val="50510D9F"/>
    <w:rsid w:val="51120FA7"/>
    <w:rsid w:val="51935DFF"/>
    <w:rsid w:val="51E729F4"/>
    <w:rsid w:val="5510702B"/>
    <w:rsid w:val="5A4C6962"/>
    <w:rsid w:val="5A6D5DB8"/>
    <w:rsid w:val="5A717E48"/>
    <w:rsid w:val="5B0028D0"/>
    <w:rsid w:val="5C317C44"/>
    <w:rsid w:val="5C4F69D3"/>
    <w:rsid w:val="5D4C51B4"/>
    <w:rsid w:val="5E5643D0"/>
    <w:rsid w:val="60655C70"/>
    <w:rsid w:val="61026C5E"/>
    <w:rsid w:val="614E25DE"/>
    <w:rsid w:val="61981217"/>
    <w:rsid w:val="632578D8"/>
    <w:rsid w:val="6354294F"/>
    <w:rsid w:val="63753E82"/>
    <w:rsid w:val="63D70224"/>
    <w:rsid w:val="64061022"/>
    <w:rsid w:val="673B45A6"/>
    <w:rsid w:val="67996F10"/>
    <w:rsid w:val="685271EB"/>
    <w:rsid w:val="6AB20490"/>
    <w:rsid w:val="6B223264"/>
    <w:rsid w:val="6B936C40"/>
    <w:rsid w:val="6BE33577"/>
    <w:rsid w:val="6C1902DF"/>
    <w:rsid w:val="6D491B4B"/>
    <w:rsid w:val="6D4B3F62"/>
    <w:rsid w:val="6EFA6E1D"/>
    <w:rsid w:val="6F7E1FBC"/>
    <w:rsid w:val="711A6DEF"/>
    <w:rsid w:val="71E2193F"/>
    <w:rsid w:val="727260AA"/>
    <w:rsid w:val="73315FFB"/>
    <w:rsid w:val="73C0648F"/>
    <w:rsid w:val="74DC0DB8"/>
    <w:rsid w:val="76200319"/>
    <w:rsid w:val="76D52313"/>
    <w:rsid w:val="7716637C"/>
    <w:rsid w:val="77572FC9"/>
    <w:rsid w:val="77694CA0"/>
    <w:rsid w:val="79A25F21"/>
    <w:rsid w:val="79EA4484"/>
    <w:rsid w:val="7ADC497B"/>
    <w:rsid w:val="7B56228A"/>
    <w:rsid w:val="7BB01CD8"/>
    <w:rsid w:val="7CE74AAA"/>
    <w:rsid w:val="7F954407"/>
    <w:rsid w:val="7FAB23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Indent 2"/>
    <w:basedOn w:val="1"/>
    <w:link w:val="18"/>
    <w:qFormat/>
    <w:uiPriority w:val="99"/>
    <w:pPr>
      <w:spacing w:after="120" w:line="480" w:lineRule="auto"/>
      <w:ind w:left="420" w:leftChars="200"/>
    </w:pPr>
    <w:rPr>
      <w:rFonts w:ascii="Calibri" w:hAnsi="Calibri"/>
      <w:kern w:val="0"/>
      <w:sz w:val="20"/>
    </w:rPr>
  </w:style>
  <w:style w:type="paragraph" w:styleId="6">
    <w:name w:val="Balloon Text"/>
    <w:basedOn w:val="1"/>
    <w:link w:val="19"/>
    <w:semiHidden/>
    <w:qFormat/>
    <w:uiPriority w:val="99"/>
    <w:rPr>
      <w:sz w:val="18"/>
      <w:szCs w:val="18"/>
    </w:rPr>
  </w:style>
  <w:style w:type="paragraph" w:styleId="7">
    <w:name w:val="footer"/>
    <w:basedOn w:val="1"/>
    <w:link w:val="20"/>
    <w:semiHidden/>
    <w:qFormat/>
    <w:uiPriority w:val="99"/>
    <w:pPr>
      <w:tabs>
        <w:tab w:val="center" w:pos="4153"/>
        <w:tab w:val="right" w:pos="8306"/>
      </w:tabs>
      <w:snapToGrid w:val="0"/>
      <w:jc w:val="left"/>
    </w:pPr>
    <w:rPr>
      <w:sz w:val="18"/>
      <w:szCs w:val="18"/>
    </w:rPr>
  </w:style>
  <w:style w:type="paragraph" w:styleId="8">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locked/>
    <w:uiPriority w:val="0"/>
    <w:rPr>
      <w:b/>
    </w:rPr>
  </w:style>
  <w:style w:type="character" w:styleId="14">
    <w:name w:val="FollowedHyperlink"/>
    <w:basedOn w:val="12"/>
    <w:semiHidden/>
    <w:unhideWhenUsed/>
    <w:qFormat/>
    <w:uiPriority w:val="99"/>
    <w:rPr>
      <w:color w:val="800080"/>
      <w:u w:val="single"/>
    </w:rPr>
  </w:style>
  <w:style w:type="character" w:styleId="15">
    <w:name w:val="Hyperlink"/>
    <w:basedOn w:val="12"/>
    <w:semiHidden/>
    <w:unhideWhenUsed/>
    <w:qFormat/>
    <w:uiPriority w:val="99"/>
    <w:rPr>
      <w:color w:val="0000FF"/>
      <w:u w:val="single"/>
    </w:rPr>
  </w:style>
  <w:style w:type="character" w:styleId="16">
    <w:name w:val="annotation reference"/>
    <w:basedOn w:val="12"/>
    <w:semiHidden/>
    <w:unhideWhenUsed/>
    <w:qFormat/>
    <w:uiPriority w:val="99"/>
    <w:rPr>
      <w:sz w:val="21"/>
      <w:szCs w:val="21"/>
    </w:rPr>
  </w:style>
  <w:style w:type="character" w:customStyle="1" w:styleId="17">
    <w:name w:val="标题 1 Char"/>
    <w:basedOn w:val="12"/>
    <w:link w:val="3"/>
    <w:qFormat/>
    <w:locked/>
    <w:uiPriority w:val="99"/>
    <w:rPr>
      <w:rFonts w:ascii="宋体" w:hAnsi="宋体" w:eastAsia="宋体" w:cs="宋体"/>
      <w:b/>
      <w:bCs/>
      <w:kern w:val="36"/>
      <w:sz w:val="48"/>
      <w:szCs w:val="48"/>
    </w:rPr>
  </w:style>
  <w:style w:type="character" w:customStyle="1" w:styleId="18">
    <w:name w:val="正文文本缩进 2 Char1"/>
    <w:basedOn w:val="12"/>
    <w:link w:val="5"/>
    <w:qFormat/>
    <w:locked/>
    <w:uiPriority w:val="99"/>
    <w:rPr>
      <w:rFonts w:ascii="Calibri" w:hAnsi="Calibri" w:eastAsia="宋体"/>
      <w:sz w:val="24"/>
    </w:rPr>
  </w:style>
  <w:style w:type="character" w:customStyle="1" w:styleId="19">
    <w:name w:val="批注框文本 Char"/>
    <w:basedOn w:val="12"/>
    <w:link w:val="6"/>
    <w:semiHidden/>
    <w:qFormat/>
    <w:locked/>
    <w:uiPriority w:val="99"/>
    <w:rPr>
      <w:rFonts w:ascii="Times New Roman" w:hAnsi="Times New Roman" w:eastAsia="宋体" w:cs="Times New Roman"/>
      <w:sz w:val="18"/>
      <w:szCs w:val="18"/>
    </w:rPr>
  </w:style>
  <w:style w:type="character" w:customStyle="1" w:styleId="20">
    <w:name w:val="页脚 Char"/>
    <w:basedOn w:val="12"/>
    <w:link w:val="7"/>
    <w:semiHidden/>
    <w:qFormat/>
    <w:locked/>
    <w:uiPriority w:val="99"/>
    <w:rPr>
      <w:rFonts w:cs="Times New Roman"/>
      <w:sz w:val="18"/>
      <w:szCs w:val="18"/>
    </w:rPr>
  </w:style>
  <w:style w:type="character" w:customStyle="1" w:styleId="21">
    <w:name w:val="页眉 Char"/>
    <w:basedOn w:val="12"/>
    <w:link w:val="8"/>
    <w:semiHidden/>
    <w:qFormat/>
    <w:locked/>
    <w:uiPriority w:val="99"/>
    <w:rPr>
      <w:rFonts w:cs="Times New Roman"/>
      <w:sz w:val="18"/>
      <w:szCs w:val="18"/>
    </w:rPr>
  </w:style>
  <w:style w:type="paragraph" w:styleId="22">
    <w:name w:val="List Paragraph"/>
    <w:basedOn w:val="1"/>
    <w:qFormat/>
    <w:uiPriority w:val="34"/>
    <w:pPr>
      <w:ind w:firstLine="420" w:firstLineChars="200"/>
    </w:pPr>
    <w:rPr>
      <w:rFonts w:ascii="Calibri" w:hAnsi="Calibri"/>
      <w:szCs w:val="22"/>
    </w:rPr>
  </w:style>
  <w:style w:type="character" w:customStyle="1" w:styleId="23">
    <w:name w:val="正文文本缩进 2 Char"/>
    <w:basedOn w:val="12"/>
    <w:semiHidden/>
    <w:qFormat/>
    <w:uiPriority w:val="99"/>
    <w:rPr>
      <w:rFonts w:ascii="Times New Roman" w:hAnsi="Times New Roman" w:eastAsia="宋体" w:cs="Times New Roman"/>
      <w:sz w:val="24"/>
      <w:szCs w:val="24"/>
    </w:rPr>
  </w:style>
  <w:style w:type="character" w:customStyle="1" w:styleId="24">
    <w:name w:val="font31"/>
    <w:basedOn w:val="12"/>
    <w:qFormat/>
    <w:uiPriority w:val="0"/>
    <w:rPr>
      <w:rFonts w:hint="eastAsia" w:ascii="宋体" w:hAnsi="宋体" w:eastAsia="宋体" w:cs="宋体"/>
      <w:color w:val="000000"/>
      <w:sz w:val="22"/>
      <w:szCs w:val="22"/>
      <w:u w:val="none"/>
    </w:rPr>
  </w:style>
  <w:style w:type="character" w:customStyle="1" w:styleId="25">
    <w:name w:val="font11"/>
    <w:basedOn w:val="12"/>
    <w:qFormat/>
    <w:uiPriority w:val="0"/>
    <w:rPr>
      <w:rFonts w:hint="eastAsia" w:ascii="宋体" w:hAnsi="宋体" w:eastAsia="宋体" w:cs="宋体"/>
      <w:color w:val="000000"/>
      <w:sz w:val="22"/>
      <w:szCs w:val="22"/>
      <w:u w:val="none"/>
    </w:rPr>
  </w:style>
  <w:style w:type="paragraph" w:customStyle="1" w:styleId="2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
    <w:name w:val="xl8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0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Table Paragraph"/>
    <w:basedOn w:val="1"/>
    <w:qFormat/>
    <w:uiPriority w:val="1"/>
    <w:rPr>
      <w:rFonts w:ascii="宋体" w:hAnsi="宋体" w:cs="宋体"/>
      <w:lang w:val="zh-CN" w:bidi="zh-CN"/>
    </w:rPr>
  </w:style>
  <w:style w:type="character" w:customStyle="1" w:styleId="54">
    <w:name w:val="font41"/>
    <w:basedOn w:val="12"/>
    <w:qFormat/>
    <w:uiPriority w:val="0"/>
    <w:rPr>
      <w:rFonts w:hint="eastAsia" w:ascii="黑体" w:hAnsi="宋体" w:eastAsia="黑体" w:cs="黑体"/>
      <w:color w:val="000000"/>
      <w:sz w:val="28"/>
      <w:szCs w:val="28"/>
      <w:u w:val="none"/>
    </w:rPr>
  </w:style>
  <w:style w:type="character" w:customStyle="1" w:styleId="55">
    <w:name w:val="font21"/>
    <w:basedOn w:val="12"/>
    <w:qFormat/>
    <w:uiPriority w:val="0"/>
    <w:rPr>
      <w:rFonts w:hint="eastAsia" w:ascii="黑体" w:hAnsi="宋体" w:eastAsia="黑体" w:cs="黑体"/>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4303</Words>
  <Characters>4674</Characters>
  <Lines>33</Lines>
  <Paragraphs>9</Paragraphs>
  <TotalTime>128</TotalTime>
  <ScaleCrop>false</ScaleCrop>
  <LinksUpToDate>false</LinksUpToDate>
  <CharactersWithSpaces>4812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2022-11-29T04:17:00Z</dcterms:created>
  <dc:creator>admin</dc:creator>
  <cp:lastModifiedBy>admin</cp:lastModifiedBy>
  <cp:lastPrinted>2023-05-29T02:19:00Z</cp:lastPrinted>
  <dcterms:modified xsi:type="dcterms:W3CDTF">2024-11-25T07:29:58Z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F06CE336E78D4865A818CC6B09C3C8A7</vt:lpwstr>
  </property>
</Properties>
</file>