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0E24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仿宋_GB2312"/>
          <w:b/>
          <w:color w:val="auto"/>
          <w:sz w:val="32"/>
          <w:szCs w:val="32"/>
          <w:highlight w:val="none"/>
        </w:rPr>
      </w:pPr>
      <w:r>
        <w:rPr>
          <w:rFonts w:hint="eastAsia" w:ascii="宋体" w:hAnsi="宋体" w:cs="仿宋_GB2312"/>
          <w:b/>
          <w:color w:val="auto"/>
          <w:sz w:val="32"/>
          <w:szCs w:val="32"/>
          <w:highlight w:val="none"/>
        </w:rPr>
        <w:t>湖州师范学院工会2025年教职工生日蛋糕采购项目</w:t>
      </w:r>
    </w:p>
    <w:p w14:paraId="38A4F8A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仿宋_GB2312"/>
          <w:b/>
          <w:color w:val="auto"/>
          <w:sz w:val="32"/>
          <w:szCs w:val="32"/>
          <w:highlight w:val="none"/>
        </w:rPr>
      </w:pPr>
      <w:r>
        <w:rPr>
          <w:rFonts w:hint="eastAsia" w:ascii="宋体" w:hAnsi="宋体" w:cs="仿宋_GB2312"/>
          <w:b/>
          <w:color w:val="auto"/>
          <w:sz w:val="32"/>
          <w:szCs w:val="32"/>
          <w:highlight w:val="none"/>
        </w:rPr>
        <w:t>采购文件</w:t>
      </w:r>
    </w:p>
    <w:p w14:paraId="4E8644A6">
      <w:pPr>
        <w:ind w:firstLine="472" w:firstLineChars="196"/>
        <w:rPr>
          <w:rFonts w:hint="eastAsia" w:ascii="仿宋" w:hAnsi="仿宋" w:eastAsia="仿宋" w:cs="仿宋_GB2312"/>
          <w:b/>
          <w:color w:val="auto"/>
          <w:sz w:val="24"/>
          <w:highlight w:val="none"/>
        </w:rPr>
      </w:pPr>
    </w:p>
    <w:p w14:paraId="539325FC">
      <w:pPr>
        <w:keepNext w:val="0"/>
        <w:keepLines w:val="0"/>
        <w:pageBreakBefore w:val="0"/>
        <w:widowControl w:val="0"/>
        <w:kinsoku/>
        <w:wordWrap/>
        <w:overflowPunct/>
        <w:topLinePunct w:val="0"/>
        <w:autoSpaceDE/>
        <w:autoSpaceDN/>
        <w:bidi w:val="0"/>
        <w:adjustRightInd/>
        <w:snapToGrid/>
        <w:spacing w:line="360" w:lineRule="exact"/>
        <w:ind w:firstLine="472" w:firstLineChars="196"/>
        <w:textAlignment w:val="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一、采购项目名称、采购清单及要求：</w:t>
      </w:r>
    </w:p>
    <w:p w14:paraId="579C09EE">
      <w:pPr>
        <w:keepNext w:val="0"/>
        <w:keepLines w:val="0"/>
        <w:pageBreakBefore w:val="0"/>
        <w:widowControl w:val="0"/>
        <w:kinsoku/>
        <w:wordWrap/>
        <w:overflowPunct/>
        <w:topLinePunct w:val="0"/>
        <w:autoSpaceDE/>
        <w:autoSpaceDN/>
        <w:bidi w:val="0"/>
        <w:adjustRightInd/>
        <w:snapToGrid/>
        <w:spacing w:line="360" w:lineRule="exact"/>
        <w:ind w:firstLine="472" w:firstLineChars="196"/>
        <w:textAlignment w:val="auto"/>
        <w:rPr>
          <w:rFonts w:ascii="仿宋" w:hAnsi="仿宋" w:eastAsia="仿宋" w:cs="宋体"/>
          <w:color w:val="auto"/>
          <w:kern w:val="0"/>
          <w:sz w:val="24"/>
          <w:highlight w:val="none"/>
        </w:rPr>
      </w:pPr>
      <w:r>
        <w:rPr>
          <w:rFonts w:ascii="仿宋" w:hAnsi="仿宋" w:eastAsia="仿宋" w:cs="仿宋_GB2312"/>
          <w:b/>
          <w:color w:val="auto"/>
          <w:sz w:val="24"/>
          <w:highlight w:val="none"/>
        </w:rPr>
        <w:t>1.</w:t>
      </w:r>
      <w:r>
        <w:rPr>
          <w:rFonts w:hint="eastAsia" w:ascii="仿宋" w:hAnsi="仿宋" w:eastAsia="仿宋" w:cs="仿宋_GB2312"/>
          <w:b/>
          <w:color w:val="auto"/>
          <w:sz w:val="24"/>
          <w:highlight w:val="none"/>
        </w:rPr>
        <w:t>采购项目名称：</w:t>
      </w:r>
      <w:r>
        <w:rPr>
          <w:rFonts w:hint="eastAsia" w:ascii="仿宋" w:hAnsi="仿宋" w:eastAsia="仿宋" w:cs="宋体"/>
          <w:color w:val="auto"/>
          <w:kern w:val="0"/>
          <w:sz w:val="24"/>
          <w:highlight w:val="none"/>
        </w:rPr>
        <w:t>湖州师范学院工会2025年教职工生日蛋糕采购项目</w:t>
      </w:r>
    </w:p>
    <w:p w14:paraId="01E1E001">
      <w:pPr>
        <w:keepNext w:val="0"/>
        <w:keepLines w:val="0"/>
        <w:pageBreakBefore w:val="0"/>
        <w:widowControl w:val="0"/>
        <w:kinsoku/>
        <w:wordWrap/>
        <w:overflowPunct/>
        <w:topLinePunct w:val="0"/>
        <w:autoSpaceDE/>
        <w:autoSpaceDN/>
        <w:bidi w:val="0"/>
        <w:adjustRightInd/>
        <w:snapToGrid/>
        <w:spacing w:line="360" w:lineRule="exact"/>
        <w:ind w:firstLine="472" w:firstLineChars="196"/>
        <w:textAlignment w:val="auto"/>
        <w:rPr>
          <w:rFonts w:hint="default" w:ascii="仿宋" w:hAnsi="仿宋" w:eastAsia="仿宋" w:cs="仿宋_GB2312"/>
          <w:color w:val="auto"/>
          <w:sz w:val="24"/>
          <w:highlight w:val="none"/>
          <w:lang w:val="en-US" w:eastAsia="zh-CN"/>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采购项目编号：</w:t>
      </w:r>
      <w:r>
        <w:rPr>
          <w:rFonts w:ascii="仿宋" w:hAnsi="仿宋" w:eastAsia="仿宋" w:cs="仿宋_GB2312"/>
          <w:color w:val="auto"/>
          <w:sz w:val="24"/>
          <w:highlight w:val="none"/>
        </w:rPr>
        <w:t>XZ</w:t>
      </w:r>
      <w:r>
        <w:rPr>
          <w:rFonts w:hint="eastAsia" w:ascii="仿宋" w:hAnsi="仿宋" w:eastAsia="仿宋" w:cs="仿宋_GB2312"/>
          <w:color w:val="auto"/>
          <w:sz w:val="24"/>
          <w:highlight w:val="none"/>
        </w:rPr>
        <w:t>20</w:t>
      </w:r>
      <w:r>
        <w:rPr>
          <w:rFonts w:hint="eastAsia" w:ascii="仿宋" w:hAnsi="仿宋" w:eastAsia="仿宋" w:cs="仿宋_GB2312"/>
          <w:color w:val="auto"/>
          <w:sz w:val="24"/>
          <w:highlight w:val="none"/>
          <w:lang w:val="en-US" w:eastAsia="zh-CN"/>
        </w:rPr>
        <w:t>24-138</w:t>
      </w:r>
    </w:p>
    <w:p w14:paraId="443338DF">
      <w:pPr>
        <w:keepNext w:val="0"/>
        <w:keepLines w:val="0"/>
        <w:pageBreakBefore w:val="0"/>
        <w:widowControl w:val="0"/>
        <w:kinsoku/>
        <w:wordWrap/>
        <w:overflowPunct/>
        <w:topLinePunct w:val="0"/>
        <w:autoSpaceDE/>
        <w:autoSpaceDN/>
        <w:bidi w:val="0"/>
        <w:adjustRightInd/>
        <w:snapToGrid/>
        <w:spacing w:line="360" w:lineRule="exact"/>
        <w:ind w:firstLine="472" w:firstLineChars="196"/>
        <w:textAlignment w:val="auto"/>
        <w:rPr>
          <w:rFonts w:ascii="仿宋" w:hAnsi="仿宋" w:eastAsia="仿宋" w:cs="仿宋_GB2312"/>
          <w:color w:val="auto"/>
          <w:sz w:val="24"/>
          <w:highlight w:val="none"/>
        </w:rPr>
      </w:pPr>
      <w:r>
        <w:rPr>
          <w:rFonts w:ascii="仿宋" w:hAnsi="仿宋" w:eastAsia="仿宋" w:cs="仿宋_GB2312"/>
          <w:b/>
          <w:color w:val="auto"/>
          <w:sz w:val="24"/>
          <w:highlight w:val="none"/>
        </w:rPr>
        <w:t>3.</w:t>
      </w:r>
      <w:r>
        <w:rPr>
          <w:rFonts w:hint="eastAsia" w:ascii="仿宋" w:hAnsi="仿宋" w:eastAsia="仿宋" w:cs="仿宋_GB2312"/>
          <w:b/>
          <w:color w:val="auto"/>
          <w:sz w:val="24"/>
          <w:highlight w:val="none"/>
        </w:rPr>
        <w:t>采购组织类型：</w:t>
      </w:r>
      <w:r>
        <w:rPr>
          <w:rFonts w:hint="eastAsia" w:ascii="仿宋" w:hAnsi="仿宋" w:eastAsia="仿宋" w:cs="仿宋_GB2312"/>
          <w:color w:val="auto"/>
          <w:sz w:val="24"/>
          <w:highlight w:val="none"/>
        </w:rPr>
        <w:t>分散采购自行组织</w:t>
      </w:r>
    </w:p>
    <w:p w14:paraId="5D9C2FD4">
      <w:pPr>
        <w:keepNext w:val="0"/>
        <w:keepLines w:val="0"/>
        <w:pageBreakBefore w:val="0"/>
        <w:widowControl w:val="0"/>
        <w:kinsoku/>
        <w:wordWrap/>
        <w:overflowPunct/>
        <w:topLinePunct w:val="0"/>
        <w:autoSpaceDE/>
        <w:autoSpaceDN/>
        <w:bidi w:val="0"/>
        <w:adjustRightInd/>
        <w:snapToGrid/>
        <w:spacing w:line="360" w:lineRule="exact"/>
        <w:ind w:firstLine="472" w:firstLineChars="196"/>
        <w:textAlignment w:val="auto"/>
        <w:rPr>
          <w:rFonts w:ascii="仿宋" w:hAnsi="仿宋" w:eastAsia="仿宋" w:cs="仿宋_GB2312"/>
          <w:color w:val="auto"/>
          <w:sz w:val="24"/>
          <w:highlight w:val="none"/>
        </w:rPr>
      </w:pPr>
      <w:r>
        <w:rPr>
          <w:rFonts w:ascii="仿宋" w:hAnsi="仿宋" w:eastAsia="仿宋" w:cs="仿宋_GB2312"/>
          <w:b/>
          <w:color w:val="auto"/>
          <w:sz w:val="24"/>
          <w:highlight w:val="none"/>
        </w:rPr>
        <w:t>4.</w:t>
      </w:r>
      <w:r>
        <w:rPr>
          <w:rFonts w:hint="eastAsia" w:ascii="仿宋" w:hAnsi="仿宋" w:eastAsia="仿宋" w:cs="仿宋_GB2312"/>
          <w:b/>
          <w:color w:val="auto"/>
          <w:sz w:val="24"/>
          <w:highlight w:val="none"/>
        </w:rPr>
        <w:t>采购方式：</w:t>
      </w:r>
      <w:r>
        <w:rPr>
          <w:rFonts w:hint="eastAsia" w:ascii="仿宋" w:hAnsi="仿宋" w:eastAsia="仿宋" w:cs="仿宋_GB2312"/>
          <w:color w:val="auto"/>
          <w:sz w:val="24"/>
          <w:highlight w:val="none"/>
        </w:rPr>
        <w:t>校内公开招标</w:t>
      </w:r>
    </w:p>
    <w:p w14:paraId="32805B0F">
      <w:pPr>
        <w:keepNext w:val="0"/>
        <w:keepLines w:val="0"/>
        <w:pageBreakBefore w:val="0"/>
        <w:widowControl w:val="0"/>
        <w:kinsoku/>
        <w:wordWrap/>
        <w:overflowPunct/>
        <w:topLinePunct w:val="0"/>
        <w:autoSpaceDE/>
        <w:autoSpaceDN/>
        <w:bidi w:val="0"/>
        <w:adjustRightInd/>
        <w:snapToGrid/>
        <w:spacing w:line="360" w:lineRule="exact"/>
        <w:ind w:firstLine="472" w:firstLineChars="196"/>
        <w:textAlignment w:val="auto"/>
        <w:rPr>
          <w:rFonts w:hint="default" w:ascii="仿宋" w:hAnsi="仿宋" w:eastAsia="仿宋" w:cs="仿宋_GB2312"/>
          <w:b/>
          <w:color w:val="auto"/>
          <w:sz w:val="24"/>
          <w:highlight w:val="none"/>
          <w:lang w:val="en-US" w:eastAsia="zh-CN"/>
        </w:rPr>
      </w:pP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lang w:val="en-US" w:eastAsia="zh-CN"/>
        </w:rPr>
        <w:t>入围数量：2家</w:t>
      </w:r>
    </w:p>
    <w:p w14:paraId="5F92C5D5">
      <w:pPr>
        <w:keepNext w:val="0"/>
        <w:keepLines w:val="0"/>
        <w:pageBreakBefore w:val="0"/>
        <w:widowControl w:val="0"/>
        <w:kinsoku/>
        <w:wordWrap/>
        <w:overflowPunct/>
        <w:topLinePunct w:val="0"/>
        <w:autoSpaceDE/>
        <w:autoSpaceDN/>
        <w:bidi w:val="0"/>
        <w:adjustRightInd/>
        <w:snapToGrid/>
        <w:spacing w:line="360" w:lineRule="exact"/>
        <w:ind w:firstLine="472" w:firstLineChars="196"/>
        <w:textAlignment w:val="auto"/>
        <w:rPr>
          <w:rFonts w:hint="eastAsia" w:ascii="仿宋" w:hAnsi="仿宋" w:eastAsia="仿宋"/>
          <w:color w:val="auto"/>
          <w:sz w:val="24"/>
          <w:highlight w:val="none"/>
          <w:lang w:val="en-US" w:eastAsia="zh-CN"/>
        </w:rPr>
      </w:pPr>
      <w:r>
        <w:rPr>
          <w:rFonts w:hint="eastAsia" w:ascii="仿宋" w:hAnsi="仿宋" w:eastAsia="仿宋" w:cs="仿宋_GB2312"/>
          <w:b/>
          <w:color w:val="auto"/>
          <w:sz w:val="24"/>
          <w:highlight w:val="none"/>
          <w:lang w:val="en-US" w:eastAsia="zh-CN"/>
        </w:rPr>
        <w:t>6.</w:t>
      </w:r>
      <w:r>
        <w:rPr>
          <w:rFonts w:hint="eastAsia" w:ascii="仿宋" w:hAnsi="仿宋" w:eastAsia="仿宋" w:cs="仿宋_GB2312"/>
          <w:b/>
          <w:color w:val="auto"/>
          <w:sz w:val="24"/>
          <w:highlight w:val="none"/>
        </w:rPr>
        <w:t>采购预算：</w:t>
      </w:r>
      <w:r>
        <w:rPr>
          <w:rFonts w:hint="eastAsia" w:ascii="仿宋" w:hAnsi="仿宋" w:eastAsia="仿宋"/>
          <w:b/>
          <w:bCs/>
          <w:color w:val="auto"/>
          <w:sz w:val="24"/>
          <w:highlight w:val="none"/>
          <w:lang w:val="en-US" w:eastAsia="zh-CN"/>
        </w:rPr>
        <w:t>单价预算：</w:t>
      </w:r>
      <w:r>
        <w:rPr>
          <w:rFonts w:hint="eastAsia" w:ascii="仿宋" w:hAnsi="仿宋" w:eastAsia="仿宋"/>
          <w:color w:val="auto"/>
          <w:sz w:val="24"/>
          <w:highlight w:val="none"/>
          <w:lang w:val="en-US" w:eastAsia="zh-CN"/>
        </w:rPr>
        <w:t>200元/份；</w:t>
      </w:r>
    </w:p>
    <w:p w14:paraId="33D9D33F">
      <w:pPr>
        <w:keepNext w:val="0"/>
        <w:keepLines w:val="0"/>
        <w:pageBreakBefore w:val="0"/>
        <w:widowControl w:val="0"/>
        <w:kinsoku/>
        <w:wordWrap/>
        <w:overflowPunct/>
        <w:topLinePunct w:val="0"/>
        <w:autoSpaceDE/>
        <w:autoSpaceDN/>
        <w:bidi w:val="0"/>
        <w:adjustRightInd/>
        <w:snapToGrid/>
        <w:spacing w:line="360" w:lineRule="exact"/>
        <w:ind w:firstLine="713" w:firstLineChars="296"/>
        <w:textAlignment w:val="auto"/>
        <w:rPr>
          <w:rFonts w:hint="default" w:ascii="仿宋" w:hAnsi="仿宋" w:eastAsia="仿宋" w:cs="仿宋_GB2312"/>
          <w:color w:val="auto"/>
          <w:sz w:val="24"/>
          <w:highlight w:val="none"/>
          <w:lang w:val="en-US" w:eastAsia="zh-CN"/>
        </w:rPr>
      </w:pPr>
      <w:r>
        <w:rPr>
          <w:rFonts w:hint="eastAsia" w:ascii="仿宋" w:hAnsi="仿宋" w:eastAsia="仿宋"/>
          <w:b/>
          <w:bCs/>
          <w:color w:val="auto"/>
          <w:sz w:val="24"/>
          <w:highlight w:val="none"/>
          <w:lang w:val="en-US" w:eastAsia="zh-CN"/>
        </w:rPr>
        <w:t>总预算：</w:t>
      </w:r>
      <w:r>
        <w:rPr>
          <w:rFonts w:hint="eastAsia" w:ascii="仿宋" w:hAnsi="仿宋" w:eastAsia="仿宋" w:cs="宋体"/>
          <w:b w:val="0"/>
          <w:bCs w:val="0"/>
          <w:color w:val="auto"/>
          <w:kern w:val="0"/>
          <w:sz w:val="24"/>
          <w:szCs w:val="24"/>
          <w:highlight w:val="none"/>
          <w:lang w:val="en-US" w:eastAsia="zh-CN"/>
        </w:rPr>
        <w:t>人民币叁拾贰万元（￥320000元）</w:t>
      </w:r>
      <w:r>
        <w:rPr>
          <w:rFonts w:hint="eastAsia" w:ascii="仿宋" w:hAnsi="仿宋" w:eastAsia="仿宋" w:cs="宋体"/>
          <w:b w:val="0"/>
          <w:bCs w:val="0"/>
          <w:color w:val="auto"/>
          <w:kern w:val="0"/>
          <w:sz w:val="24"/>
          <w:szCs w:val="24"/>
          <w:highlight w:val="none"/>
          <w:lang w:eastAsia="zh-CN"/>
        </w:rPr>
        <w:t>预算</w:t>
      </w:r>
      <w:r>
        <w:rPr>
          <w:rFonts w:hint="eastAsia" w:ascii="仿宋" w:hAnsi="仿宋" w:eastAsia="仿宋"/>
          <w:color w:val="auto"/>
          <w:sz w:val="24"/>
          <w:highlight w:val="none"/>
        </w:rPr>
        <w:t>包</w:t>
      </w:r>
      <w:r>
        <w:rPr>
          <w:rFonts w:hint="eastAsia" w:ascii="仿宋" w:hAnsi="仿宋" w:eastAsia="仿宋" w:cs="仿宋_GB2312"/>
          <w:color w:val="auto"/>
          <w:sz w:val="24"/>
          <w:highlight w:val="none"/>
        </w:rPr>
        <w:t>含</w:t>
      </w:r>
      <w:r>
        <w:rPr>
          <w:rFonts w:hint="eastAsia" w:ascii="仿宋" w:hAnsi="仿宋" w:eastAsia="仿宋" w:cs="仿宋_GB2312"/>
          <w:color w:val="auto"/>
          <w:sz w:val="24"/>
          <w:highlight w:val="none"/>
          <w:lang w:eastAsia="zh-CN"/>
        </w:rPr>
        <w:t>蛋糕费</w:t>
      </w:r>
      <w:r>
        <w:rPr>
          <w:rFonts w:hint="eastAsia" w:ascii="仿宋" w:hAnsi="仿宋" w:eastAsia="仿宋" w:cs="仿宋_GB2312"/>
          <w:color w:val="auto"/>
          <w:sz w:val="24"/>
          <w:highlight w:val="none"/>
        </w:rPr>
        <w:t>、充值卡工本费、服务费、管理费、措施费、税费等全部费用在内</w:t>
      </w:r>
      <w:r>
        <w:rPr>
          <w:rFonts w:hint="eastAsia" w:ascii="仿宋" w:hAnsi="仿宋" w:eastAsia="仿宋" w:cs="仿宋_GB2312"/>
          <w:color w:val="auto"/>
          <w:sz w:val="24"/>
          <w:highlight w:val="none"/>
          <w:lang w:val="en-US" w:eastAsia="zh-CN"/>
        </w:rPr>
        <w:t>。</w:t>
      </w:r>
    </w:p>
    <w:p w14:paraId="33421418">
      <w:pPr>
        <w:keepNext w:val="0"/>
        <w:keepLines w:val="0"/>
        <w:pageBreakBefore w:val="0"/>
        <w:widowControl w:val="0"/>
        <w:kinsoku/>
        <w:wordWrap/>
        <w:overflowPunct/>
        <w:topLinePunct w:val="0"/>
        <w:autoSpaceDE/>
        <w:autoSpaceDN/>
        <w:bidi w:val="0"/>
        <w:adjustRightInd/>
        <w:snapToGrid/>
        <w:spacing w:line="360" w:lineRule="exact"/>
        <w:ind w:firstLine="472" w:firstLineChars="196"/>
        <w:textAlignment w:val="auto"/>
        <w:rPr>
          <w:rFonts w:ascii="仿宋" w:hAnsi="仿宋" w:eastAsia="仿宋" w:cs="仿宋_GB2312"/>
          <w:color w:val="auto"/>
          <w:sz w:val="24"/>
          <w:highlight w:val="none"/>
        </w:rPr>
      </w:pPr>
      <w:r>
        <w:rPr>
          <w:rFonts w:hint="eastAsia" w:ascii="仿宋" w:hAnsi="仿宋" w:eastAsia="仿宋" w:cs="仿宋_GB2312"/>
          <w:b/>
          <w:color w:val="auto"/>
          <w:sz w:val="24"/>
          <w:highlight w:val="none"/>
          <w:lang w:val="en-US" w:eastAsia="zh-CN"/>
        </w:rPr>
        <w:t>7</w:t>
      </w:r>
      <w:r>
        <w:rPr>
          <w:rFonts w:ascii="仿宋" w:hAnsi="仿宋" w:eastAsia="仿宋" w:cs="仿宋_GB2312"/>
          <w:b/>
          <w:color w:val="auto"/>
          <w:sz w:val="24"/>
          <w:highlight w:val="none"/>
        </w:rPr>
        <w:t>.</w:t>
      </w:r>
      <w:r>
        <w:rPr>
          <w:rFonts w:hint="eastAsia" w:ascii="仿宋" w:hAnsi="仿宋" w:eastAsia="仿宋" w:cs="仿宋_GB2312"/>
          <w:b/>
          <w:color w:val="auto"/>
          <w:sz w:val="24"/>
          <w:highlight w:val="none"/>
        </w:rPr>
        <w:t>采购清单</w:t>
      </w:r>
      <w:r>
        <w:rPr>
          <w:rFonts w:hint="eastAsia" w:ascii="仿宋" w:hAnsi="仿宋" w:eastAsia="仿宋" w:cs="仿宋_GB2312"/>
          <w:color w:val="auto"/>
          <w:sz w:val="24"/>
          <w:highlight w:val="none"/>
        </w:rPr>
        <w:t>（包括货物名称、规格尺寸、数量等），见下表：</w:t>
      </w:r>
    </w:p>
    <w:tbl>
      <w:tblPr>
        <w:tblStyle w:val="8"/>
        <w:tblW w:w="10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1557"/>
        <w:gridCol w:w="5087"/>
        <w:gridCol w:w="1393"/>
        <w:gridCol w:w="1215"/>
      </w:tblGrid>
      <w:tr w14:paraId="267A0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 w:type="dxa"/>
            <w:vAlign w:val="center"/>
          </w:tcPr>
          <w:p w14:paraId="48EC9EE5">
            <w:pPr>
              <w:jc w:val="center"/>
              <w:rPr>
                <w:rFonts w:hint="eastAsia" w:ascii="仿宋" w:hAnsi="仿宋" w:eastAsia="仿宋" w:cs="仿宋_GB2312"/>
                <w:b/>
                <w:color w:val="auto"/>
                <w:kern w:val="0"/>
                <w:sz w:val="24"/>
                <w:szCs w:val="20"/>
                <w:highlight w:val="none"/>
                <w:lang w:val="en-US" w:eastAsia="zh-CN"/>
              </w:rPr>
            </w:pPr>
            <w:r>
              <w:rPr>
                <w:rFonts w:hint="eastAsia" w:ascii="仿宋" w:hAnsi="仿宋" w:eastAsia="仿宋" w:cs="仿宋_GB2312"/>
                <w:b/>
                <w:color w:val="auto"/>
                <w:kern w:val="0"/>
                <w:sz w:val="24"/>
                <w:szCs w:val="20"/>
                <w:highlight w:val="none"/>
                <w:lang w:val="en-US" w:eastAsia="zh-CN"/>
              </w:rPr>
              <w:t>序号</w:t>
            </w:r>
          </w:p>
        </w:tc>
        <w:tc>
          <w:tcPr>
            <w:tcW w:w="1557" w:type="dxa"/>
            <w:vAlign w:val="center"/>
          </w:tcPr>
          <w:p w14:paraId="6A6C4BBB">
            <w:pPr>
              <w:jc w:val="center"/>
              <w:rPr>
                <w:rFonts w:hint="eastAsia" w:ascii="仿宋" w:hAnsi="仿宋" w:eastAsia="仿宋" w:cs="Times New Roman"/>
                <w:b/>
                <w:color w:val="auto"/>
                <w:kern w:val="0"/>
                <w:sz w:val="24"/>
                <w:szCs w:val="20"/>
                <w:highlight w:val="none"/>
                <w:lang w:val="en-US" w:eastAsia="zh-CN" w:bidi="ar-SA"/>
              </w:rPr>
            </w:pPr>
            <w:r>
              <w:rPr>
                <w:rFonts w:hint="eastAsia" w:ascii="仿宋" w:hAnsi="仿宋" w:eastAsia="仿宋" w:cs="仿宋_GB2312"/>
                <w:b/>
                <w:color w:val="auto"/>
                <w:kern w:val="0"/>
                <w:sz w:val="24"/>
                <w:szCs w:val="20"/>
                <w:highlight w:val="none"/>
              </w:rPr>
              <w:t>货物名称</w:t>
            </w:r>
          </w:p>
        </w:tc>
        <w:tc>
          <w:tcPr>
            <w:tcW w:w="5087" w:type="dxa"/>
            <w:vAlign w:val="center"/>
          </w:tcPr>
          <w:p w14:paraId="28932127">
            <w:pPr>
              <w:jc w:val="center"/>
              <w:rPr>
                <w:rFonts w:ascii="仿宋" w:hAnsi="仿宋" w:eastAsia="仿宋" w:cs="仿宋_GB2312"/>
                <w:b/>
                <w:color w:val="auto"/>
                <w:kern w:val="0"/>
                <w:sz w:val="24"/>
                <w:szCs w:val="20"/>
                <w:highlight w:val="none"/>
              </w:rPr>
            </w:pPr>
            <w:r>
              <w:rPr>
                <w:rFonts w:hint="eastAsia" w:ascii="仿宋" w:hAnsi="仿宋" w:eastAsia="仿宋" w:cs="仿宋_GB2312"/>
                <w:b/>
                <w:color w:val="auto"/>
                <w:kern w:val="0"/>
                <w:sz w:val="24"/>
                <w:szCs w:val="20"/>
                <w:highlight w:val="none"/>
              </w:rPr>
              <w:t>采购要求</w:t>
            </w:r>
          </w:p>
        </w:tc>
        <w:tc>
          <w:tcPr>
            <w:tcW w:w="1393" w:type="dxa"/>
            <w:vAlign w:val="center"/>
          </w:tcPr>
          <w:p w14:paraId="062EF236">
            <w:pPr>
              <w:jc w:val="center"/>
              <w:rPr>
                <w:rFonts w:ascii="仿宋" w:hAnsi="仿宋" w:eastAsia="仿宋"/>
                <w:b/>
                <w:color w:val="auto"/>
                <w:kern w:val="0"/>
                <w:sz w:val="24"/>
                <w:szCs w:val="20"/>
                <w:highlight w:val="none"/>
              </w:rPr>
            </w:pPr>
            <w:r>
              <w:rPr>
                <w:rFonts w:hint="eastAsia" w:ascii="仿宋" w:hAnsi="仿宋" w:eastAsia="仿宋" w:cs="仿宋_GB2312"/>
                <w:b/>
                <w:color w:val="auto"/>
                <w:kern w:val="0"/>
                <w:sz w:val="24"/>
                <w:szCs w:val="20"/>
                <w:highlight w:val="none"/>
              </w:rPr>
              <w:t>采购数量</w:t>
            </w:r>
            <w:r>
              <w:rPr>
                <w:rFonts w:hint="eastAsia" w:ascii="仿宋" w:hAnsi="仿宋" w:eastAsia="仿宋" w:cs="仿宋_GB2312"/>
                <w:b/>
                <w:color w:val="auto"/>
                <w:kern w:val="0"/>
                <w:sz w:val="24"/>
                <w:szCs w:val="20"/>
                <w:highlight w:val="none"/>
                <w:lang w:eastAsia="zh-CN"/>
              </w:rPr>
              <w:t>（</w:t>
            </w:r>
            <w:r>
              <w:rPr>
                <w:rFonts w:hint="eastAsia" w:ascii="仿宋" w:hAnsi="仿宋" w:eastAsia="仿宋" w:cs="仿宋_GB2312"/>
                <w:b/>
                <w:color w:val="auto"/>
                <w:kern w:val="0"/>
                <w:sz w:val="24"/>
                <w:szCs w:val="20"/>
                <w:highlight w:val="none"/>
                <w:lang w:val="en-US" w:eastAsia="zh-CN"/>
              </w:rPr>
              <w:t>预估）</w:t>
            </w:r>
          </w:p>
        </w:tc>
        <w:tc>
          <w:tcPr>
            <w:tcW w:w="1215" w:type="dxa"/>
            <w:vAlign w:val="center"/>
          </w:tcPr>
          <w:p w14:paraId="08876D26">
            <w:pPr>
              <w:jc w:val="center"/>
              <w:rPr>
                <w:rFonts w:hint="eastAsia" w:ascii="仿宋" w:hAnsi="仿宋" w:eastAsia="仿宋" w:cs="仿宋_GB2312"/>
                <w:b/>
                <w:color w:val="auto"/>
                <w:kern w:val="0"/>
                <w:sz w:val="24"/>
                <w:szCs w:val="20"/>
                <w:highlight w:val="none"/>
                <w:lang w:eastAsia="zh-CN"/>
              </w:rPr>
            </w:pPr>
            <w:r>
              <w:rPr>
                <w:rFonts w:hint="eastAsia" w:ascii="仿宋" w:hAnsi="仿宋" w:eastAsia="仿宋" w:cs="仿宋_GB2312"/>
                <w:b/>
                <w:color w:val="auto"/>
                <w:kern w:val="0"/>
                <w:sz w:val="24"/>
                <w:szCs w:val="20"/>
                <w:highlight w:val="none"/>
                <w:lang w:eastAsia="zh-CN"/>
              </w:rPr>
              <w:t>服务期限</w:t>
            </w:r>
          </w:p>
        </w:tc>
      </w:tr>
      <w:tr w14:paraId="09ED3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 w:type="dxa"/>
            <w:vAlign w:val="center"/>
          </w:tcPr>
          <w:p w14:paraId="4BE429D6">
            <w:pPr>
              <w:jc w:val="center"/>
              <w:rPr>
                <w:rFonts w:hint="default" w:ascii="仿宋" w:hAnsi="仿宋" w:eastAsia="仿宋" w:cs="仿宋_GB2312"/>
                <w:color w:val="auto"/>
                <w:kern w:val="0"/>
                <w:sz w:val="24"/>
                <w:szCs w:val="20"/>
                <w:highlight w:val="none"/>
                <w:lang w:val="en-US" w:eastAsia="zh-CN"/>
              </w:rPr>
            </w:pPr>
            <w:r>
              <w:rPr>
                <w:rFonts w:hint="default" w:ascii="仿宋" w:hAnsi="仿宋" w:eastAsia="仿宋" w:cs="仿宋_GB2312"/>
                <w:color w:val="auto"/>
                <w:kern w:val="0"/>
                <w:sz w:val="24"/>
                <w:szCs w:val="20"/>
                <w:highlight w:val="none"/>
                <w:lang w:val="en-US" w:eastAsia="zh-CN"/>
              </w:rPr>
              <w:t>1</w:t>
            </w:r>
          </w:p>
        </w:tc>
        <w:tc>
          <w:tcPr>
            <w:tcW w:w="1557" w:type="dxa"/>
            <w:vAlign w:val="center"/>
          </w:tcPr>
          <w:p w14:paraId="380FBF78">
            <w:pPr>
              <w:jc w:val="center"/>
              <w:rPr>
                <w:rFonts w:hint="eastAsia" w:ascii="仿宋" w:hAnsi="仿宋" w:eastAsia="仿宋" w:cs="仿宋_GB2312"/>
                <w:color w:val="auto"/>
                <w:kern w:val="0"/>
                <w:sz w:val="24"/>
                <w:szCs w:val="20"/>
                <w:highlight w:val="none"/>
                <w:lang w:val="en-US" w:eastAsia="zh-CN" w:bidi="ar-SA"/>
              </w:rPr>
            </w:pPr>
            <w:r>
              <w:rPr>
                <w:rFonts w:hint="eastAsia" w:ascii="仿宋" w:hAnsi="仿宋" w:eastAsia="仿宋" w:cs="仿宋_GB2312"/>
                <w:color w:val="auto"/>
                <w:kern w:val="0"/>
                <w:sz w:val="24"/>
                <w:szCs w:val="20"/>
                <w:highlight w:val="none"/>
                <w:lang w:eastAsia="zh-CN"/>
              </w:rPr>
              <w:t>教职工生日蛋糕</w:t>
            </w:r>
          </w:p>
        </w:tc>
        <w:tc>
          <w:tcPr>
            <w:tcW w:w="5087" w:type="dxa"/>
          </w:tcPr>
          <w:p w14:paraId="4669D960">
            <w:pPr>
              <w:jc w:val="left"/>
              <w:rPr>
                <w:rFonts w:ascii="仿宋" w:hAnsi="仿宋" w:eastAsia="仿宋" w:cs="仿宋_GB2312"/>
                <w:color w:val="auto"/>
                <w:kern w:val="0"/>
                <w:sz w:val="24"/>
                <w:szCs w:val="20"/>
                <w:highlight w:val="none"/>
              </w:rPr>
            </w:pPr>
            <w:r>
              <w:rPr>
                <w:rFonts w:hint="eastAsia" w:ascii="仿宋" w:hAnsi="仿宋" w:eastAsia="仿宋" w:cs="仿宋_GB2312"/>
                <w:color w:val="auto"/>
                <w:kern w:val="0"/>
                <w:sz w:val="24"/>
                <w:szCs w:val="20"/>
                <w:highlight w:val="none"/>
              </w:rPr>
              <w:t>1.电子充值卡采购单价统一为</w:t>
            </w:r>
            <w:r>
              <w:rPr>
                <w:rFonts w:hint="eastAsia" w:ascii="仿宋" w:hAnsi="仿宋" w:eastAsia="仿宋" w:cs="仿宋_GB2312"/>
                <w:color w:val="auto"/>
                <w:kern w:val="0"/>
                <w:sz w:val="24"/>
                <w:szCs w:val="20"/>
                <w:highlight w:val="none"/>
                <w:lang w:val="en-US" w:eastAsia="zh-CN"/>
              </w:rPr>
              <w:t>200</w:t>
            </w:r>
            <w:r>
              <w:rPr>
                <w:rFonts w:hint="eastAsia" w:ascii="仿宋" w:hAnsi="仿宋" w:eastAsia="仿宋" w:cs="仿宋_GB2312"/>
                <w:color w:val="auto"/>
                <w:kern w:val="0"/>
                <w:sz w:val="24"/>
                <w:szCs w:val="20"/>
                <w:highlight w:val="none"/>
              </w:rPr>
              <w:t>元/份。</w:t>
            </w:r>
          </w:p>
          <w:p w14:paraId="447B0A9A">
            <w:pPr>
              <w:jc w:val="left"/>
              <w:rPr>
                <w:rFonts w:ascii="仿宋" w:hAnsi="仿宋" w:eastAsia="仿宋" w:cs="仿宋_GB2312"/>
                <w:color w:val="auto"/>
                <w:kern w:val="0"/>
                <w:sz w:val="24"/>
                <w:szCs w:val="20"/>
                <w:highlight w:val="none"/>
              </w:rPr>
            </w:pPr>
            <w:r>
              <w:rPr>
                <w:rFonts w:hint="eastAsia" w:ascii="仿宋" w:hAnsi="仿宋" w:eastAsia="仿宋" w:cs="仿宋_GB2312"/>
                <w:color w:val="auto"/>
                <w:kern w:val="0"/>
                <w:sz w:val="24"/>
                <w:szCs w:val="20"/>
                <w:highlight w:val="none"/>
              </w:rPr>
              <w:t>2.电子充值卡内实际充值金额不得少于</w:t>
            </w:r>
            <w:r>
              <w:rPr>
                <w:rFonts w:hint="eastAsia" w:ascii="仿宋" w:hAnsi="仿宋" w:eastAsia="仿宋" w:cs="仿宋_GB2312"/>
                <w:color w:val="auto"/>
                <w:kern w:val="0"/>
                <w:sz w:val="24"/>
                <w:szCs w:val="20"/>
                <w:highlight w:val="none"/>
                <w:lang w:val="en-US" w:eastAsia="zh-CN"/>
              </w:rPr>
              <w:t>200</w:t>
            </w:r>
            <w:r>
              <w:rPr>
                <w:rFonts w:hint="eastAsia" w:ascii="仿宋" w:hAnsi="仿宋" w:eastAsia="仿宋" w:cs="仿宋_GB2312"/>
                <w:color w:val="auto"/>
                <w:kern w:val="0"/>
                <w:sz w:val="24"/>
                <w:szCs w:val="20"/>
                <w:highlight w:val="none"/>
              </w:rPr>
              <w:t>元/份，具体充值金额根据中标价定。</w:t>
            </w:r>
          </w:p>
          <w:p w14:paraId="5DB4F192">
            <w:pPr>
              <w:jc w:val="left"/>
              <w:rPr>
                <w:rFonts w:hint="eastAsia" w:ascii="仿宋" w:hAnsi="仿宋" w:eastAsia="仿宋" w:cs="仿宋_GB2312"/>
                <w:color w:val="auto"/>
                <w:kern w:val="0"/>
                <w:sz w:val="24"/>
                <w:szCs w:val="20"/>
                <w:highlight w:val="none"/>
              </w:rPr>
            </w:pPr>
            <w:r>
              <w:rPr>
                <w:rFonts w:hint="eastAsia" w:ascii="仿宋" w:hAnsi="仿宋" w:eastAsia="仿宋" w:cs="仿宋_GB2312"/>
                <w:color w:val="auto"/>
                <w:kern w:val="0"/>
                <w:sz w:val="24"/>
                <w:szCs w:val="20"/>
                <w:highlight w:val="none"/>
              </w:rPr>
              <w:t>3.电子充值卡应在中标人自营营业网点通用，为即时型消费卡，不得设置消费时间、价格、日期、品种等任何不合理条件限制。</w:t>
            </w:r>
          </w:p>
        </w:tc>
        <w:tc>
          <w:tcPr>
            <w:tcW w:w="1393" w:type="dxa"/>
            <w:vAlign w:val="center"/>
          </w:tcPr>
          <w:p w14:paraId="5FD22122">
            <w:pPr>
              <w:jc w:val="center"/>
              <w:rPr>
                <w:rFonts w:hint="default" w:ascii="仿宋" w:hAnsi="仿宋" w:eastAsia="仿宋" w:cs="仿宋_GB2312"/>
                <w:color w:val="auto"/>
                <w:kern w:val="0"/>
                <w:sz w:val="24"/>
                <w:szCs w:val="20"/>
                <w:highlight w:val="none"/>
                <w:lang w:val="en-US" w:eastAsia="zh-CN"/>
              </w:rPr>
            </w:pPr>
            <w:r>
              <w:rPr>
                <w:rFonts w:hint="eastAsia" w:ascii="仿宋" w:hAnsi="仿宋" w:eastAsia="仿宋" w:cs="仿宋_GB2312"/>
                <w:color w:val="auto"/>
                <w:kern w:val="0"/>
                <w:sz w:val="24"/>
                <w:szCs w:val="20"/>
                <w:highlight w:val="none"/>
                <w:lang w:val="en-US" w:eastAsia="zh-CN"/>
              </w:rPr>
              <w:t>1600张/年</w:t>
            </w:r>
          </w:p>
        </w:tc>
        <w:tc>
          <w:tcPr>
            <w:tcW w:w="1215" w:type="dxa"/>
            <w:vAlign w:val="center"/>
          </w:tcPr>
          <w:p w14:paraId="613B3FBA">
            <w:pPr>
              <w:jc w:val="center"/>
              <w:rPr>
                <w:rFonts w:hint="eastAsia" w:ascii="仿宋" w:hAnsi="仿宋" w:eastAsia="仿宋" w:cs="仿宋_GB2312"/>
                <w:color w:val="auto"/>
                <w:kern w:val="0"/>
                <w:sz w:val="24"/>
                <w:szCs w:val="20"/>
                <w:highlight w:val="none"/>
                <w:lang w:val="en-US" w:eastAsia="zh-CN"/>
              </w:rPr>
            </w:pPr>
            <w:r>
              <w:rPr>
                <w:rFonts w:hint="eastAsia" w:ascii="仿宋" w:hAnsi="仿宋" w:eastAsia="仿宋" w:cs="仿宋_GB2312"/>
                <w:color w:val="auto"/>
                <w:kern w:val="0"/>
                <w:sz w:val="24"/>
                <w:szCs w:val="20"/>
                <w:highlight w:val="none"/>
                <w:lang w:val="en-US" w:eastAsia="zh-CN"/>
              </w:rPr>
              <w:t>1年</w:t>
            </w:r>
          </w:p>
          <w:p w14:paraId="7593CD9D">
            <w:pPr>
              <w:jc w:val="center"/>
              <w:rPr>
                <w:rFonts w:hint="default" w:ascii="仿宋" w:hAnsi="仿宋" w:eastAsia="仿宋" w:cs="仿宋_GB2312"/>
                <w:color w:val="auto"/>
                <w:kern w:val="0"/>
                <w:sz w:val="24"/>
                <w:szCs w:val="20"/>
                <w:highlight w:val="none"/>
                <w:lang w:val="en-US" w:eastAsia="zh-CN"/>
              </w:rPr>
            </w:pPr>
            <w:r>
              <w:rPr>
                <w:rFonts w:hint="eastAsia" w:ascii="仿宋" w:hAnsi="仿宋" w:eastAsia="仿宋" w:cs="仿宋_GB2312"/>
                <w:color w:val="auto"/>
                <w:kern w:val="0"/>
                <w:sz w:val="24"/>
                <w:szCs w:val="20"/>
                <w:highlight w:val="none"/>
                <w:lang w:val="en-US" w:eastAsia="zh-CN"/>
              </w:rPr>
              <w:t>（2025年）</w:t>
            </w:r>
          </w:p>
        </w:tc>
      </w:tr>
    </w:tbl>
    <w:p w14:paraId="500EB096">
      <w:pPr>
        <w:keepNext w:val="0"/>
        <w:keepLines w:val="0"/>
        <w:pageBreakBefore w:val="0"/>
        <w:widowControl w:val="0"/>
        <w:kinsoku/>
        <w:wordWrap/>
        <w:overflowPunct/>
        <w:topLinePunct w:val="0"/>
        <w:autoSpaceDE/>
        <w:autoSpaceDN/>
        <w:bidi w:val="0"/>
        <w:adjustRightInd/>
        <w:snapToGrid/>
        <w:spacing w:line="360" w:lineRule="exact"/>
        <w:ind w:firstLine="472" w:firstLineChars="196"/>
        <w:jc w:val="left"/>
        <w:textAlignment w:val="auto"/>
        <w:rPr>
          <w:rFonts w:ascii="仿宋" w:hAnsi="仿宋" w:eastAsia="仿宋"/>
          <w:b/>
          <w:bCs/>
          <w:color w:val="auto"/>
          <w:sz w:val="24"/>
          <w:highlight w:val="none"/>
        </w:rPr>
      </w:pPr>
      <w:r>
        <w:rPr>
          <w:rFonts w:hint="eastAsia" w:ascii="仿宋" w:hAnsi="仿宋" w:eastAsia="仿宋"/>
          <w:b/>
          <w:bCs/>
          <w:color w:val="auto"/>
          <w:sz w:val="24"/>
          <w:highlight w:val="none"/>
        </w:rPr>
        <w:t>二、投标文件要求</w:t>
      </w:r>
    </w:p>
    <w:p w14:paraId="37502A9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rPr>
        <w:t>投标人的投标文件中应包含以下内容（投标文件密封，一式两份，一正一副，胶装成册。所有证件均须真实、有效，复印件均须加盖公章，缺少以下任意一项内容即作无效标处理）：</w:t>
      </w:r>
    </w:p>
    <w:p w14:paraId="5CB97EF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宋体"/>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投标报价清单</w:t>
      </w:r>
      <w:r>
        <w:rPr>
          <w:rFonts w:ascii="仿宋" w:hAnsi="仿宋" w:eastAsia="仿宋"/>
          <w:color w:val="auto"/>
          <w:sz w:val="24"/>
          <w:highlight w:val="none"/>
        </w:rPr>
        <w:t>(</w:t>
      </w:r>
      <w:r>
        <w:rPr>
          <w:rFonts w:hint="eastAsia" w:ascii="仿宋" w:hAnsi="仿宋" w:eastAsia="仿宋" w:cs="仿宋_GB2312"/>
          <w:color w:val="auto"/>
          <w:sz w:val="24"/>
          <w:highlight w:val="none"/>
        </w:rPr>
        <w:t>含充值卡工本费、服务费、管理费、措施费、税费等全部费用在内。</w:t>
      </w:r>
      <w:r>
        <w:rPr>
          <w:rFonts w:hint="eastAsia" w:ascii="仿宋" w:hAnsi="仿宋" w:eastAsia="仿宋" w:cs="仿宋_GB2312"/>
          <w:b/>
          <w:color w:val="auto"/>
          <w:sz w:val="24"/>
          <w:highlight w:val="none"/>
        </w:rPr>
        <w:t>报价方式为：</w:t>
      </w:r>
      <w:r>
        <w:rPr>
          <w:rFonts w:hint="eastAsia" w:ascii="仿宋" w:hAnsi="仿宋" w:eastAsia="仿宋"/>
          <w:color w:val="auto"/>
          <w:sz w:val="24"/>
          <w:highlight w:val="none"/>
        </w:rPr>
        <w:t>投标人在</w:t>
      </w:r>
      <w:r>
        <w:rPr>
          <w:rFonts w:hint="eastAsia" w:ascii="仿宋" w:hAnsi="仿宋" w:eastAsia="仿宋"/>
          <w:color w:val="auto"/>
          <w:sz w:val="24"/>
          <w:highlight w:val="none"/>
          <w:lang w:val="en-US" w:eastAsia="zh-CN"/>
        </w:rPr>
        <w:t>200</w:t>
      </w:r>
      <w:r>
        <w:rPr>
          <w:rFonts w:hint="eastAsia" w:ascii="仿宋" w:hAnsi="仿宋" w:eastAsia="仿宋"/>
          <w:color w:val="auto"/>
          <w:sz w:val="24"/>
          <w:highlight w:val="none"/>
        </w:rPr>
        <w:t>元/份采购预算单价基础上进行优惠</w:t>
      </w:r>
      <w:r>
        <w:rPr>
          <w:rFonts w:hint="eastAsia" w:ascii="仿宋" w:hAnsi="仿宋" w:eastAsia="仿宋"/>
          <w:color w:val="auto"/>
          <w:sz w:val="24"/>
          <w:highlight w:val="none"/>
          <w:lang w:eastAsia="zh-CN"/>
        </w:rPr>
        <w:t>增值</w:t>
      </w:r>
      <w:r>
        <w:rPr>
          <w:rFonts w:hint="eastAsia" w:ascii="仿宋" w:hAnsi="仿宋" w:eastAsia="仿宋"/>
          <w:color w:val="auto"/>
          <w:sz w:val="24"/>
          <w:highlight w:val="none"/>
        </w:rPr>
        <w:t>报价（优惠</w:t>
      </w:r>
      <w:r>
        <w:rPr>
          <w:rFonts w:hint="eastAsia" w:ascii="仿宋" w:hAnsi="仿宋" w:eastAsia="仿宋"/>
          <w:color w:val="auto"/>
          <w:sz w:val="24"/>
          <w:highlight w:val="none"/>
          <w:lang w:eastAsia="zh-CN"/>
        </w:rPr>
        <w:t>增值</w:t>
      </w:r>
      <w:r>
        <w:rPr>
          <w:rFonts w:hint="eastAsia" w:ascii="仿宋" w:hAnsi="仿宋" w:eastAsia="仿宋"/>
          <w:color w:val="auto"/>
          <w:sz w:val="24"/>
          <w:highlight w:val="none"/>
        </w:rPr>
        <w:t>价格不得低于</w:t>
      </w:r>
      <w:r>
        <w:rPr>
          <w:rFonts w:hint="eastAsia" w:ascii="仿宋" w:hAnsi="仿宋" w:eastAsia="仿宋"/>
          <w:color w:val="auto"/>
          <w:sz w:val="24"/>
          <w:highlight w:val="none"/>
          <w:lang w:val="en-US" w:eastAsia="zh-CN"/>
        </w:rPr>
        <w:t>200</w:t>
      </w:r>
      <w:r>
        <w:rPr>
          <w:rFonts w:hint="eastAsia" w:ascii="仿宋" w:hAnsi="仿宋" w:eastAsia="仿宋"/>
          <w:color w:val="auto"/>
          <w:sz w:val="24"/>
          <w:highlight w:val="none"/>
        </w:rPr>
        <w:t>元/份</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否则作无效标处理</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无论实际优惠报价多少，采购人最终的实际结算价统一为</w:t>
      </w:r>
      <w:r>
        <w:rPr>
          <w:rFonts w:hint="eastAsia" w:ascii="仿宋" w:hAnsi="仿宋" w:eastAsia="仿宋"/>
          <w:color w:val="auto"/>
          <w:sz w:val="24"/>
          <w:highlight w:val="none"/>
          <w:lang w:val="en-US" w:eastAsia="zh-CN"/>
        </w:rPr>
        <w:t>20</w:t>
      </w:r>
      <w:r>
        <w:rPr>
          <w:rFonts w:hint="eastAsia" w:ascii="仿宋" w:hAnsi="仿宋" w:eastAsia="仿宋"/>
          <w:color w:val="auto"/>
          <w:sz w:val="24"/>
          <w:highlight w:val="none"/>
        </w:rPr>
        <w:t>0元/份。</w:t>
      </w:r>
      <w:r>
        <w:rPr>
          <w:rFonts w:hint="eastAsia" w:ascii="仿宋" w:hAnsi="仿宋" w:eastAsia="仿宋" w:cs="仿宋_GB2312"/>
          <w:b/>
          <w:bCs/>
          <w:color w:val="auto"/>
          <w:sz w:val="24"/>
          <w:highlight w:val="none"/>
        </w:rPr>
        <w:t>投标报价清单见附件</w:t>
      </w:r>
      <w:r>
        <w:rPr>
          <w:rFonts w:hint="eastAsia" w:ascii="仿宋" w:hAnsi="仿宋" w:eastAsia="仿宋"/>
          <w:color w:val="auto"/>
          <w:sz w:val="24"/>
          <w:highlight w:val="none"/>
          <w:lang w:eastAsia="zh-CN"/>
        </w:rPr>
        <w:t>（</w:t>
      </w:r>
      <w:r>
        <w:rPr>
          <w:rFonts w:hint="eastAsia" w:ascii="仿宋" w:hAnsi="仿宋" w:eastAsia="仿宋"/>
          <w:b/>
          <w:bCs/>
          <w:color w:val="auto"/>
          <w:sz w:val="24"/>
          <w:highlight w:val="none"/>
          <w:lang w:eastAsia="zh-CN"/>
        </w:rPr>
        <w:t>需单独密封，否则做无效标处理</w:t>
      </w:r>
      <w:r>
        <w:rPr>
          <w:rFonts w:hint="eastAsia" w:ascii="仿宋" w:hAnsi="仿宋" w:eastAsia="仿宋"/>
          <w:color w:val="auto"/>
          <w:sz w:val="24"/>
          <w:highlight w:val="none"/>
        </w:rPr>
        <w:t>）</w:t>
      </w:r>
      <w:r>
        <w:rPr>
          <w:rFonts w:hint="eastAsia" w:ascii="仿宋" w:hAnsi="仿宋" w:eastAsia="仿宋" w:cs="仿宋_GB2312"/>
          <w:b/>
          <w:bCs/>
          <w:color w:val="auto"/>
          <w:sz w:val="24"/>
          <w:highlight w:val="none"/>
        </w:rPr>
        <w:t>；</w:t>
      </w:r>
    </w:p>
    <w:p w14:paraId="3456F63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营业执照副本复印件；</w:t>
      </w:r>
    </w:p>
    <w:p w14:paraId="5AC9980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rPr>
        <w:t>3.食品生产许可证复印件；</w:t>
      </w:r>
    </w:p>
    <w:p w14:paraId="144BC14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w:t>
      </w:r>
      <w:r>
        <w:rPr>
          <w:rFonts w:hint="eastAsia" w:ascii="仿宋" w:hAnsi="仿宋" w:eastAsia="仿宋" w:cs="仿宋_GB2312"/>
          <w:color w:val="auto"/>
          <w:sz w:val="24"/>
          <w:highlight w:val="none"/>
        </w:rPr>
        <w:t>投标人开户银行、户名、账号；</w:t>
      </w:r>
    </w:p>
    <w:p w14:paraId="478FD53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_GB2312"/>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w:t>
      </w:r>
      <w:r>
        <w:rPr>
          <w:rFonts w:hint="eastAsia" w:ascii="仿宋" w:hAnsi="仿宋" w:eastAsia="仿宋" w:cs="仿宋_GB2312"/>
          <w:color w:val="auto"/>
          <w:sz w:val="24"/>
          <w:highlight w:val="none"/>
        </w:rPr>
        <w:t>投标代表身份证复印件；如非法定代表人投标，另提供法定代表人授权委托书原件、法定代表人身份证复印件</w:t>
      </w:r>
      <w:r>
        <w:rPr>
          <w:rFonts w:hint="eastAsia" w:ascii="仿宋" w:hAnsi="仿宋" w:eastAsia="仿宋" w:cs="仿宋_GB2312"/>
          <w:color w:val="auto"/>
          <w:sz w:val="24"/>
          <w:highlight w:val="none"/>
          <w:lang w:eastAsia="zh-CN"/>
        </w:rPr>
        <w:t>及在本单位近三个月缴纳社保的凭证</w:t>
      </w:r>
      <w:r>
        <w:rPr>
          <w:rFonts w:hint="eastAsia" w:ascii="仿宋" w:hAnsi="仿宋" w:eastAsia="仿宋" w:cs="仿宋_GB2312"/>
          <w:color w:val="auto"/>
          <w:sz w:val="24"/>
          <w:highlight w:val="none"/>
        </w:rPr>
        <w:t>；</w:t>
      </w:r>
    </w:p>
    <w:p w14:paraId="172BB88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i w:val="0"/>
          <w:iCs w:val="0"/>
          <w:caps w:val="0"/>
          <w:color w:val="auto"/>
          <w:spacing w:val="0"/>
          <w:kern w:val="0"/>
          <w:sz w:val="24"/>
          <w:szCs w:val="24"/>
          <w:highlight w:val="none"/>
          <w:shd w:val="clear" w:fill="FFFFFF"/>
          <w:lang w:val="en-US" w:eastAsia="zh-CN" w:bidi="ar"/>
        </w:rPr>
      </w:pPr>
      <w:r>
        <w:rPr>
          <w:rFonts w:hint="default" w:ascii="仿宋" w:hAnsi="仿宋" w:eastAsia="仿宋" w:cs="仿宋"/>
          <w:i w:val="0"/>
          <w:iCs w:val="0"/>
          <w:caps w:val="0"/>
          <w:color w:val="auto"/>
          <w:spacing w:val="0"/>
          <w:kern w:val="0"/>
          <w:sz w:val="24"/>
          <w:szCs w:val="24"/>
          <w:highlight w:val="none"/>
          <w:shd w:val="clear" w:fill="FFFFFF"/>
          <w:lang w:val="en-US" w:eastAsia="zh-CN" w:bidi="ar"/>
        </w:rPr>
        <w:t>6</w:t>
      </w:r>
      <w:r>
        <w:rPr>
          <w:rFonts w:hint="eastAsia" w:ascii="仿宋" w:hAnsi="仿宋" w:eastAsia="仿宋" w:cs="仿宋"/>
          <w:i w:val="0"/>
          <w:iCs w:val="0"/>
          <w:caps w:val="0"/>
          <w:color w:val="auto"/>
          <w:spacing w:val="0"/>
          <w:kern w:val="0"/>
          <w:sz w:val="24"/>
          <w:szCs w:val="24"/>
          <w:highlight w:val="none"/>
          <w:shd w:val="clear" w:fill="FFFFFF"/>
          <w:lang w:val="en-US" w:eastAsia="zh-CN" w:bidi="ar"/>
        </w:rPr>
        <w:t>.</w:t>
      </w:r>
      <w:r>
        <w:rPr>
          <w:rFonts w:hint="eastAsia" w:ascii="仿宋" w:hAnsi="仿宋" w:eastAsia="仿宋" w:cs="仿宋"/>
          <w:i w:val="0"/>
          <w:iCs w:val="0"/>
          <w:caps w:val="0"/>
          <w:color w:val="auto"/>
          <w:spacing w:val="0"/>
          <w:kern w:val="0"/>
          <w:sz w:val="24"/>
          <w:szCs w:val="24"/>
          <w:highlight w:val="none"/>
          <w:shd w:val="clear" w:fill="FFFFFF"/>
          <w:lang w:val="en-US" w:eastAsia="zh-CN" w:bidi="ar"/>
        </w:rPr>
        <w:t>投标人在湖州市中心城区设有营业网点5家及以上的相关证明；</w:t>
      </w:r>
    </w:p>
    <w:p w14:paraId="2B021CA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olor w:val="auto"/>
          <w:sz w:val="24"/>
          <w:highlight w:val="none"/>
        </w:rPr>
      </w:pPr>
      <w:r>
        <w:rPr>
          <w:rFonts w:hint="default" w:ascii="仿宋" w:hAnsi="仿宋" w:eastAsia="仿宋"/>
          <w:color w:val="auto"/>
          <w:sz w:val="24"/>
          <w:highlight w:val="none"/>
          <w:lang w:val="en-US"/>
        </w:rPr>
        <w:t>7</w:t>
      </w:r>
      <w:r>
        <w:rPr>
          <w:rFonts w:hint="eastAsia" w:ascii="仿宋" w:hAnsi="仿宋" w:eastAsia="仿宋"/>
          <w:color w:val="auto"/>
          <w:sz w:val="24"/>
          <w:highlight w:val="none"/>
        </w:rPr>
        <w:t>.投标人提供自采购公告发布之日起至开标截止时间止的“信用中国”网站（</w:t>
      </w:r>
      <w:r>
        <w:rPr>
          <w:rFonts w:ascii="仿宋" w:hAnsi="仿宋" w:eastAsia="仿宋"/>
          <w:color w:val="auto"/>
          <w:sz w:val="24"/>
          <w:highlight w:val="none"/>
        </w:rPr>
        <w:t>www.creditchina.gov.cn</w:t>
      </w:r>
      <w:r>
        <w:rPr>
          <w:rFonts w:hint="eastAsia" w:ascii="仿宋" w:hAnsi="仿宋" w:eastAsia="仿宋"/>
          <w:color w:val="auto"/>
          <w:sz w:val="24"/>
          <w:highlight w:val="none"/>
        </w:rPr>
        <w:t>）、中国政府采购网（</w:t>
      </w:r>
      <w:r>
        <w:rPr>
          <w:rFonts w:ascii="仿宋" w:hAnsi="仿宋" w:eastAsia="仿宋"/>
          <w:color w:val="auto"/>
          <w:sz w:val="24"/>
          <w:highlight w:val="none"/>
        </w:rPr>
        <w:t>www.ccgp.gov.cn</w:t>
      </w:r>
      <w:r>
        <w:rPr>
          <w:rFonts w:hint="eastAsia" w:ascii="仿宋" w:hAnsi="仿宋" w:eastAsia="仿宋"/>
          <w:color w:val="auto"/>
          <w:sz w:val="24"/>
          <w:highlight w:val="none"/>
        </w:rPr>
        <w:t>）投标人信用查询网页截图（缺少1项作无效标处理；以开标当日采购人核实的查询结果为准）；</w:t>
      </w:r>
    </w:p>
    <w:p w14:paraId="6242DA9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olor w:val="auto"/>
          <w:sz w:val="24"/>
          <w:highlight w:val="none"/>
        </w:rPr>
      </w:pPr>
      <w:r>
        <w:rPr>
          <w:rFonts w:hint="default" w:ascii="仿宋" w:hAnsi="仿宋" w:eastAsia="仿宋"/>
          <w:color w:val="auto"/>
          <w:sz w:val="24"/>
          <w:highlight w:val="none"/>
          <w:lang w:val="en-US"/>
        </w:rPr>
        <w:t>8</w:t>
      </w:r>
      <w:r>
        <w:rPr>
          <w:rFonts w:hint="eastAsia" w:ascii="仿宋" w:hAnsi="仿宋" w:eastAsia="仿宋"/>
          <w:color w:val="auto"/>
          <w:sz w:val="24"/>
          <w:highlight w:val="none"/>
        </w:rPr>
        <w:t>.投标人单位</w:t>
      </w:r>
      <w:r>
        <w:rPr>
          <w:rFonts w:hint="eastAsia" w:ascii="仿宋" w:hAnsi="仿宋" w:eastAsia="仿宋"/>
          <w:color w:val="auto"/>
          <w:sz w:val="24"/>
          <w:highlight w:val="none"/>
          <w:lang w:val="en-US" w:eastAsia="zh-CN"/>
        </w:rPr>
        <w:t>相关</w:t>
      </w:r>
      <w:r>
        <w:rPr>
          <w:rFonts w:hint="eastAsia" w:ascii="仿宋" w:hAnsi="仿宋" w:eastAsia="仿宋"/>
          <w:color w:val="auto"/>
          <w:sz w:val="24"/>
          <w:highlight w:val="none"/>
        </w:rPr>
        <w:t>介绍及其他</w:t>
      </w:r>
      <w:r>
        <w:rPr>
          <w:rFonts w:hint="eastAsia" w:ascii="仿宋" w:hAnsi="仿宋" w:eastAsia="仿宋"/>
          <w:color w:val="auto"/>
          <w:sz w:val="24"/>
          <w:highlight w:val="none"/>
          <w:lang w:val="en-US" w:eastAsia="zh-CN"/>
        </w:rPr>
        <w:t>评审</w:t>
      </w:r>
      <w:r>
        <w:rPr>
          <w:rFonts w:hint="eastAsia" w:ascii="仿宋" w:hAnsi="仿宋" w:eastAsia="仿宋"/>
          <w:color w:val="auto"/>
          <w:sz w:val="24"/>
          <w:highlight w:val="none"/>
        </w:rPr>
        <w:t>需要</w:t>
      </w:r>
      <w:r>
        <w:rPr>
          <w:rFonts w:hint="eastAsia" w:ascii="仿宋" w:hAnsi="仿宋" w:eastAsia="仿宋"/>
          <w:color w:val="auto"/>
          <w:sz w:val="24"/>
          <w:highlight w:val="none"/>
          <w:lang w:val="en-US" w:eastAsia="zh-CN"/>
        </w:rPr>
        <w:t>的支撑</w:t>
      </w:r>
      <w:r>
        <w:rPr>
          <w:rFonts w:hint="eastAsia" w:ascii="仿宋" w:hAnsi="仿宋" w:eastAsia="仿宋"/>
          <w:color w:val="auto"/>
          <w:sz w:val="24"/>
          <w:highlight w:val="none"/>
        </w:rPr>
        <w:t>材料</w:t>
      </w:r>
      <w:r>
        <w:rPr>
          <w:rFonts w:hint="eastAsia" w:ascii="仿宋" w:hAnsi="仿宋" w:eastAsia="仿宋" w:cs="仿宋_GB2312"/>
          <w:color w:val="auto"/>
          <w:sz w:val="24"/>
          <w:highlight w:val="none"/>
        </w:rPr>
        <w:t>。</w:t>
      </w:r>
    </w:p>
    <w:p w14:paraId="1533CE32">
      <w:pPr>
        <w:spacing w:line="340" w:lineRule="exact"/>
        <w:ind w:firstLine="472" w:firstLineChars="196"/>
        <w:jc w:val="left"/>
        <w:rPr>
          <w:rFonts w:ascii="仿宋" w:hAnsi="仿宋" w:eastAsia="仿宋"/>
          <w:b/>
          <w:bCs/>
          <w:color w:val="auto"/>
          <w:sz w:val="24"/>
          <w:highlight w:val="none"/>
        </w:rPr>
      </w:pPr>
      <w:r>
        <w:rPr>
          <w:rFonts w:hint="eastAsia" w:ascii="仿宋" w:hAnsi="仿宋" w:eastAsia="仿宋"/>
          <w:b/>
          <w:bCs/>
          <w:color w:val="auto"/>
          <w:sz w:val="24"/>
          <w:highlight w:val="none"/>
        </w:rPr>
        <w:t>三、投标文件递交及开标时间：</w:t>
      </w:r>
    </w:p>
    <w:p w14:paraId="63AB7839">
      <w:pPr>
        <w:spacing w:line="340" w:lineRule="exact"/>
        <w:ind w:firstLine="480" w:firstLineChars="200"/>
        <w:jc w:val="left"/>
        <w:rPr>
          <w:rFonts w:ascii="仿宋" w:hAnsi="仿宋" w:eastAsia="仿宋"/>
          <w:b/>
          <w:color w:val="auto"/>
          <w:sz w:val="24"/>
          <w:highlight w:val="none"/>
          <w:u w:val="single"/>
        </w:rPr>
      </w:pPr>
      <w:r>
        <w:rPr>
          <w:rFonts w:ascii="仿宋" w:hAnsi="仿宋" w:eastAsia="仿宋"/>
          <w:color w:val="auto"/>
          <w:sz w:val="24"/>
          <w:highlight w:val="none"/>
        </w:rPr>
        <w:t>1.</w:t>
      </w:r>
      <w:r>
        <w:rPr>
          <w:rFonts w:hint="eastAsia" w:ascii="仿宋" w:hAnsi="仿宋" w:eastAsia="仿宋"/>
          <w:color w:val="auto"/>
          <w:sz w:val="24"/>
          <w:highlight w:val="none"/>
        </w:rPr>
        <w:t>开标时间：</w:t>
      </w:r>
      <w:r>
        <w:rPr>
          <w:rFonts w:ascii="仿宋" w:hAnsi="仿宋" w:eastAsia="仿宋"/>
          <w:b/>
          <w:color w:val="auto"/>
          <w:sz w:val="24"/>
          <w:highlight w:val="none"/>
        </w:rPr>
        <w:t>20</w:t>
      </w:r>
      <w:r>
        <w:rPr>
          <w:rFonts w:hint="eastAsia" w:ascii="仿宋" w:hAnsi="仿宋" w:eastAsia="仿宋"/>
          <w:b/>
          <w:color w:val="auto"/>
          <w:sz w:val="24"/>
          <w:highlight w:val="none"/>
        </w:rPr>
        <w:t>2</w:t>
      </w:r>
      <w:r>
        <w:rPr>
          <w:rFonts w:hint="eastAsia" w:ascii="仿宋" w:hAnsi="仿宋" w:eastAsia="仿宋"/>
          <w:b/>
          <w:color w:val="auto"/>
          <w:sz w:val="24"/>
          <w:highlight w:val="none"/>
          <w:lang w:val="en-US" w:eastAsia="zh-CN"/>
        </w:rPr>
        <w:t>4</w:t>
      </w:r>
      <w:r>
        <w:rPr>
          <w:rFonts w:hint="eastAsia" w:ascii="仿宋" w:hAnsi="仿宋" w:eastAsia="仿宋"/>
          <w:b/>
          <w:color w:val="auto"/>
          <w:sz w:val="24"/>
          <w:highlight w:val="none"/>
        </w:rPr>
        <w:t>年1</w:t>
      </w: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19</w:t>
      </w:r>
      <w:r>
        <w:rPr>
          <w:rFonts w:hint="eastAsia" w:ascii="仿宋" w:hAnsi="仿宋" w:eastAsia="仿宋"/>
          <w:b/>
          <w:color w:val="auto"/>
          <w:sz w:val="24"/>
          <w:highlight w:val="none"/>
        </w:rPr>
        <w:t>日</w:t>
      </w:r>
      <w:r>
        <w:rPr>
          <w:rFonts w:hint="eastAsia" w:ascii="仿宋" w:hAnsi="仿宋" w:eastAsia="仿宋"/>
          <w:b/>
          <w:color w:val="auto"/>
          <w:sz w:val="24"/>
          <w:highlight w:val="none"/>
          <w:lang w:val="en-US" w:eastAsia="zh-CN"/>
        </w:rPr>
        <w:t>14</w:t>
      </w: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3</w:t>
      </w:r>
      <w:r>
        <w:rPr>
          <w:rFonts w:ascii="仿宋" w:hAnsi="仿宋" w:eastAsia="仿宋"/>
          <w:b/>
          <w:color w:val="auto"/>
          <w:sz w:val="24"/>
          <w:highlight w:val="none"/>
        </w:rPr>
        <w:t>0</w:t>
      </w:r>
    </w:p>
    <w:p w14:paraId="64F09AC9">
      <w:pPr>
        <w:spacing w:line="340" w:lineRule="exact"/>
        <w:ind w:left="147" w:leftChars="70" w:firstLine="360" w:firstLineChars="15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开标地点：湖州市二环东路</w:t>
      </w:r>
      <w:r>
        <w:rPr>
          <w:rFonts w:ascii="仿宋" w:hAnsi="仿宋" w:eastAsia="仿宋"/>
          <w:color w:val="auto"/>
          <w:sz w:val="24"/>
          <w:highlight w:val="none"/>
        </w:rPr>
        <w:t>759</w:t>
      </w:r>
      <w:r>
        <w:rPr>
          <w:rFonts w:hint="eastAsia" w:ascii="仿宋" w:hAnsi="仿宋" w:eastAsia="仿宋"/>
          <w:color w:val="auto"/>
          <w:sz w:val="24"/>
          <w:highlight w:val="none"/>
        </w:rPr>
        <w:t>号湖州师范学院东校区明达楼</w:t>
      </w:r>
      <w:r>
        <w:rPr>
          <w:rFonts w:ascii="仿宋" w:hAnsi="仿宋" w:eastAsia="仿宋"/>
          <w:color w:val="auto"/>
          <w:sz w:val="24"/>
          <w:highlight w:val="none"/>
        </w:rPr>
        <w:t>202</w:t>
      </w:r>
      <w:r>
        <w:rPr>
          <w:rFonts w:hint="eastAsia" w:ascii="仿宋" w:hAnsi="仿宋" w:eastAsia="仿宋"/>
          <w:color w:val="auto"/>
          <w:sz w:val="24"/>
          <w:highlight w:val="none"/>
        </w:rPr>
        <w:t>室</w:t>
      </w:r>
    </w:p>
    <w:p w14:paraId="3E5784B4">
      <w:pPr>
        <w:spacing w:line="34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联系人：</w:t>
      </w:r>
      <w:r>
        <w:rPr>
          <w:rFonts w:hint="eastAsia" w:ascii="仿宋" w:hAnsi="仿宋" w:eastAsia="仿宋"/>
          <w:color w:val="auto"/>
          <w:sz w:val="24"/>
          <w:highlight w:val="none"/>
          <w:lang w:eastAsia="zh-CN"/>
        </w:rPr>
        <w:t>徐</w:t>
      </w:r>
      <w:r>
        <w:rPr>
          <w:rFonts w:hint="eastAsia" w:ascii="仿宋" w:hAnsi="仿宋" w:eastAsia="仿宋"/>
          <w:color w:val="auto"/>
          <w:sz w:val="24"/>
          <w:highlight w:val="none"/>
        </w:rPr>
        <w:t>老师</w:t>
      </w:r>
      <w:r>
        <w:rPr>
          <w:rFonts w:ascii="仿宋" w:hAnsi="仿宋" w:eastAsia="仿宋"/>
          <w:color w:val="auto"/>
          <w:sz w:val="24"/>
          <w:highlight w:val="none"/>
        </w:rPr>
        <w:t xml:space="preserve"> </w:t>
      </w:r>
    </w:p>
    <w:p w14:paraId="627A72F8">
      <w:pPr>
        <w:spacing w:line="340" w:lineRule="exact"/>
        <w:ind w:firstLine="480" w:firstLineChars="200"/>
        <w:jc w:val="left"/>
        <w:rPr>
          <w:rFonts w:hint="default" w:ascii="仿宋" w:hAnsi="仿宋" w:eastAsia="仿宋"/>
          <w:color w:val="auto"/>
          <w:sz w:val="24"/>
          <w:highlight w:val="none"/>
          <w:lang w:val="en-US" w:eastAsia="zh-CN"/>
        </w:rPr>
      </w:pPr>
      <w:r>
        <w:rPr>
          <w:rFonts w:ascii="仿宋" w:hAnsi="仿宋" w:eastAsia="仿宋"/>
          <w:color w:val="auto"/>
          <w:sz w:val="24"/>
          <w:highlight w:val="none"/>
        </w:rPr>
        <w:t>4.</w:t>
      </w:r>
      <w:r>
        <w:rPr>
          <w:rFonts w:hint="eastAsia" w:ascii="仿宋" w:hAnsi="仿宋" w:eastAsia="仿宋"/>
          <w:color w:val="auto"/>
          <w:sz w:val="24"/>
          <w:highlight w:val="none"/>
        </w:rPr>
        <w:t>电话：</w:t>
      </w:r>
      <w:r>
        <w:rPr>
          <w:rFonts w:ascii="仿宋" w:hAnsi="仿宋" w:eastAsia="仿宋"/>
          <w:color w:val="auto"/>
          <w:sz w:val="24"/>
          <w:highlight w:val="none"/>
        </w:rPr>
        <w:t>0572-232</w:t>
      </w:r>
      <w:r>
        <w:rPr>
          <w:rFonts w:hint="eastAsia" w:ascii="仿宋" w:hAnsi="仿宋" w:eastAsia="仿宋"/>
          <w:color w:val="auto"/>
          <w:sz w:val="24"/>
          <w:highlight w:val="none"/>
          <w:lang w:val="en-US" w:eastAsia="zh-CN"/>
        </w:rPr>
        <w:t>2188</w:t>
      </w:r>
    </w:p>
    <w:p w14:paraId="39F81F21">
      <w:pPr>
        <w:spacing w:line="340" w:lineRule="exact"/>
        <w:ind w:firstLine="472" w:firstLineChars="196"/>
        <w:jc w:val="left"/>
        <w:rPr>
          <w:rFonts w:ascii="仿宋" w:hAnsi="仿宋" w:eastAsia="仿宋"/>
          <w:b/>
          <w:bCs/>
          <w:color w:val="auto"/>
          <w:sz w:val="24"/>
          <w:highlight w:val="none"/>
        </w:rPr>
      </w:pPr>
      <w:r>
        <w:rPr>
          <w:rFonts w:hint="eastAsia" w:ascii="仿宋" w:hAnsi="仿宋" w:eastAsia="仿宋"/>
          <w:b/>
          <w:bCs/>
          <w:color w:val="auto"/>
          <w:sz w:val="24"/>
          <w:highlight w:val="none"/>
        </w:rPr>
        <w:t>四、中标办法</w:t>
      </w:r>
    </w:p>
    <w:p w14:paraId="69426650">
      <w:pPr>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本项目由评标委员会根据招标文件要求进行综合评分，满分100分，</w:t>
      </w:r>
      <w:r>
        <w:rPr>
          <w:rFonts w:hint="eastAsia" w:ascii="仿宋" w:hAnsi="仿宋" w:eastAsia="仿宋"/>
          <w:color w:val="auto"/>
          <w:sz w:val="24"/>
          <w:highlight w:val="none"/>
          <w:lang w:val="en-US" w:eastAsia="zh-CN"/>
        </w:rPr>
        <w:t>得分最高者及次高者的</w:t>
      </w:r>
      <w:r>
        <w:rPr>
          <w:rFonts w:hint="eastAsia" w:ascii="仿宋" w:hAnsi="仿宋" w:eastAsia="仿宋"/>
          <w:color w:val="auto"/>
          <w:sz w:val="24"/>
          <w:highlight w:val="none"/>
        </w:rPr>
        <w:t>中标人。如中标人弃标，由采购人决定按得分从高到低依次排序另行确定中标人或重新招标。中标结果需经公示确认。</w:t>
      </w:r>
    </w:p>
    <w:p w14:paraId="6DF596AB">
      <w:pPr>
        <w:ind w:firstLine="482" w:firstLineChars="200"/>
        <w:contextualSpacing/>
        <w:jc w:val="left"/>
        <w:rPr>
          <w:rFonts w:ascii="仿宋" w:hAnsi="仿宋" w:eastAsia="仿宋"/>
          <w:b/>
          <w:color w:val="auto"/>
          <w:sz w:val="24"/>
          <w:highlight w:val="none"/>
        </w:rPr>
      </w:pPr>
      <w:r>
        <w:rPr>
          <w:rFonts w:ascii="仿宋" w:hAnsi="仿宋" w:eastAsia="仿宋"/>
          <w:b/>
          <w:color w:val="auto"/>
          <w:sz w:val="24"/>
          <w:highlight w:val="none"/>
        </w:rPr>
        <w:t>五</w:t>
      </w:r>
      <w:r>
        <w:rPr>
          <w:rFonts w:hint="eastAsia" w:ascii="仿宋" w:hAnsi="仿宋" w:eastAsia="仿宋"/>
          <w:b/>
          <w:color w:val="auto"/>
          <w:sz w:val="24"/>
          <w:highlight w:val="none"/>
        </w:rPr>
        <w:t>、</w:t>
      </w:r>
      <w:r>
        <w:rPr>
          <w:rFonts w:ascii="仿宋" w:hAnsi="仿宋" w:eastAsia="仿宋"/>
          <w:b/>
          <w:color w:val="auto"/>
          <w:sz w:val="24"/>
          <w:highlight w:val="none"/>
        </w:rPr>
        <w:t>评分标准</w:t>
      </w:r>
    </w:p>
    <w:p w14:paraId="3525E87B">
      <w:pPr>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本次评标采用综合评分法，总分为100分，其中价格分</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0分，技术、商务、资信及其他分</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0分。合格投标人的评标得分为各项目汇总得分，综合得分最高的为第一中标候选人。评分过程中采用四舍五入法，并保留小数2位。</w:t>
      </w:r>
    </w:p>
    <w:p w14:paraId="219028C6">
      <w:pPr>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投标人评标综合得分=价格分+(技术、商务、资信及其他分)。</w:t>
      </w:r>
    </w:p>
    <w:p w14:paraId="7A279CDC">
      <w:pPr>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1.价格分：</w:t>
      </w: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0分</w:t>
      </w:r>
    </w:p>
    <w:p w14:paraId="098B3C55">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投标报价低于采购预算的，则该报价为无效报价。在报价允许范围内，投标人中报价最高的为评标基准价，其价格分为满分，其他投标人的价格分按照下列公式计算：价格分=（投标人报价/评标基准价）×</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0。</w:t>
      </w:r>
    </w:p>
    <w:p w14:paraId="4A5C543B">
      <w:pPr>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2.技术、商务、资信及其他分：</w:t>
      </w: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0分</w:t>
      </w:r>
    </w:p>
    <w:p w14:paraId="6A385303">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本部分按照评标委员会成员的独立评分结果汇总数的算术平均分计算，计算公式为：得分=（评标委员会所有成员评分合计数）/（评标委员会组成人员数）。</w:t>
      </w:r>
    </w:p>
    <w:p w14:paraId="419E7888">
      <w:pPr>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具体评分标准如下：</w:t>
      </w:r>
    </w:p>
    <w:tbl>
      <w:tblPr>
        <w:tblStyle w:val="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22"/>
        <w:gridCol w:w="6574"/>
        <w:gridCol w:w="702"/>
      </w:tblGrid>
      <w:tr w14:paraId="5F4F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60" w:type="dxa"/>
            <w:tcBorders>
              <w:bottom w:val="single" w:color="auto" w:sz="4" w:space="0"/>
            </w:tcBorders>
            <w:shd w:val="clear" w:color="auto" w:fill="D9D9D9"/>
            <w:vAlign w:val="center"/>
          </w:tcPr>
          <w:p w14:paraId="3E4A32E2">
            <w:pPr>
              <w:widowControl/>
              <w:adjustRightInd w:val="0"/>
              <w:snapToGrid w:val="0"/>
              <w:spacing w:line="360" w:lineRule="exact"/>
              <w:jc w:val="center"/>
              <w:rPr>
                <w:rFonts w:ascii="仿宋" w:hAnsi="仿宋" w:eastAsia="仿宋" w:cs="宋体"/>
                <w:b/>
                <w:bCs/>
                <w:i w:val="0"/>
                <w:iCs w:val="0"/>
                <w:color w:val="auto"/>
                <w:kern w:val="0"/>
                <w:szCs w:val="21"/>
                <w:highlight w:val="none"/>
              </w:rPr>
            </w:pPr>
            <w:r>
              <w:rPr>
                <w:rFonts w:hint="eastAsia" w:ascii="仿宋" w:hAnsi="仿宋" w:eastAsia="仿宋" w:cs="宋体"/>
                <w:b/>
                <w:bCs/>
                <w:i w:val="0"/>
                <w:iCs w:val="0"/>
                <w:color w:val="auto"/>
                <w:kern w:val="0"/>
                <w:szCs w:val="21"/>
                <w:highlight w:val="none"/>
              </w:rPr>
              <w:t>序号</w:t>
            </w:r>
          </w:p>
        </w:tc>
        <w:tc>
          <w:tcPr>
            <w:tcW w:w="1222" w:type="dxa"/>
            <w:tcBorders>
              <w:bottom w:val="single" w:color="auto" w:sz="4" w:space="0"/>
            </w:tcBorders>
            <w:shd w:val="clear" w:color="auto" w:fill="D9D9D9"/>
            <w:vAlign w:val="center"/>
          </w:tcPr>
          <w:p w14:paraId="3FE70401">
            <w:pPr>
              <w:widowControl/>
              <w:adjustRightInd w:val="0"/>
              <w:snapToGrid w:val="0"/>
              <w:spacing w:line="360" w:lineRule="exact"/>
              <w:jc w:val="center"/>
              <w:rPr>
                <w:rFonts w:ascii="仿宋" w:hAnsi="仿宋" w:eastAsia="仿宋" w:cs="宋体"/>
                <w:b/>
                <w:bCs/>
                <w:i w:val="0"/>
                <w:iCs w:val="0"/>
                <w:color w:val="auto"/>
                <w:kern w:val="0"/>
                <w:szCs w:val="21"/>
                <w:highlight w:val="none"/>
              </w:rPr>
            </w:pPr>
            <w:r>
              <w:rPr>
                <w:rFonts w:hint="eastAsia" w:ascii="仿宋" w:hAnsi="仿宋" w:eastAsia="仿宋" w:cs="宋体"/>
                <w:b/>
                <w:bCs/>
                <w:i w:val="0"/>
                <w:iCs w:val="0"/>
                <w:color w:val="auto"/>
                <w:kern w:val="0"/>
                <w:szCs w:val="21"/>
                <w:highlight w:val="none"/>
              </w:rPr>
              <w:t>评审内容</w:t>
            </w:r>
          </w:p>
        </w:tc>
        <w:tc>
          <w:tcPr>
            <w:tcW w:w="6574" w:type="dxa"/>
            <w:tcBorders>
              <w:bottom w:val="single" w:color="auto" w:sz="4" w:space="0"/>
            </w:tcBorders>
            <w:shd w:val="clear" w:color="auto" w:fill="D9D9D9"/>
            <w:vAlign w:val="center"/>
          </w:tcPr>
          <w:p w14:paraId="3164EED6">
            <w:pPr>
              <w:widowControl/>
              <w:adjustRightInd w:val="0"/>
              <w:snapToGrid w:val="0"/>
              <w:spacing w:line="360" w:lineRule="exact"/>
              <w:jc w:val="center"/>
              <w:rPr>
                <w:rFonts w:ascii="仿宋" w:hAnsi="仿宋" w:eastAsia="仿宋" w:cs="宋体"/>
                <w:b/>
                <w:bCs/>
                <w:i w:val="0"/>
                <w:iCs w:val="0"/>
                <w:color w:val="auto"/>
                <w:kern w:val="0"/>
                <w:szCs w:val="21"/>
                <w:highlight w:val="none"/>
              </w:rPr>
            </w:pPr>
            <w:r>
              <w:rPr>
                <w:rFonts w:hint="eastAsia" w:ascii="仿宋" w:hAnsi="仿宋" w:eastAsia="仿宋" w:cs="宋体"/>
                <w:b/>
                <w:bCs/>
                <w:i w:val="0"/>
                <w:iCs w:val="0"/>
                <w:color w:val="auto"/>
                <w:kern w:val="0"/>
                <w:szCs w:val="21"/>
                <w:highlight w:val="none"/>
              </w:rPr>
              <w:t>评分标准</w:t>
            </w:r>
          </w:p>
        </w:tc>
        <w:tc>
          <w:tcPr>
            <w:tcW w:w="702" w:type="dxa"/>
            <w:tcBorders>
              <w:bottom w:val="single" w:color="auto" w:sz="4" w:space="0"/>
            </w:tcBorders>
            <w:shd w:val="clear" w:color="auto" w:fill="D9D9D9"/>
            <w:vAlign w:val="center"/>
          </w:tcPr>
          <w:p w14:paraId="197757EF">
            <w:pPr>
              <w:widowControl/>
              <w:adjustRightInd w:val="0"/>
              <w:snapToGrid w:val="0"/>
              <w:spacing w:line="360" w:lineRule="exact"/>
              <w:jc w:val="center"/>
              <w:rPr>
                <w:rFonts w:ascii="仿宋" w:hAnsi="仿宋" w:eastAsia="仿宋" w:cs="宋体"/>
                <w:b/>
                <w:bCs/>
                <w:i w:val="0"/>
                <w:iCs w:val="0"/>
                <w:color w:val="auto"/>
                <w:kern w:val="0"/>
                <w:szCs w:val="21"/>
                <w:highlight w:val="none"/>
              </w:rPr>
            </w:pPr>
            <w:r>
              <w:rPr>
                <w:rFonts w:hint="eastAsia" w:ascii="仿宋" w:hAnsi="仿宋" w:eastAsia="仿宋" w:cs="宋体"/>
                <w:b/>
                <w:bCs/>
                <w:i w:val="0"/>
                <w:iCs w:val="0"/>
                <w:color w:val="auto"/>
                <w:kern w:val="0"/>
                <w:szCs w:val="21"/>
                <w:highlight w:val="none"/>
              </w:rPr>
              <w:t>分值</w:t>
            </w:r>
          </w:p>
        </w:tc>
      </w:tr>
      <w:tr w14:paraId="72F3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60" w:type="dxa"/>
            <w:shd w:val="clear" w:color="auto" w:fill="auto"/>
            <w:vAlign w:val="center"/>
          </w:tcPr>
          <w:p w14:paraId="56291A0C">
            <w:pPr>
              <w:widowControl/>
              <w:adjustRightInd w:val="0"/>
              <w:snapToGrid w:val="0"/>
              <w:spacing w:line="360" w:lineRule="exact"/>
              <w:jc w:val="center"/>
              <w:rPr>
                <w:rFonts w:ascii="仿宋" w:hAnsi="仿宋" w:eastAsia="仿宋" w:cs="宋体"/>
                <w:b/>
                <w:bCs/>
                <w:i w:val="0"/>
                <w:iCs w:val="0"/>
                <w:color w:val="auto"/>
                <w:kern w:val="0"/>
                <w:szCs w:val="21"/>
                <w:highlight w:val="none"/>
                <w:shd w:val="pct10" w:color="auto" w:fill="FFFFFF"/>
              </w:rPr>
            </w:pPr>
            <w:r>
              <w:rPr>
                <w:rFonts w:hint="eastAsia" w:ascii="仿宋" w:hAnsi="仿宋" w:eastAsia="仿宋" w:cs="宋体"/>
                <w:b/>
                <w:bCs/>
                <w:i w:val="0"/>
                <w:iCs w:val="0"/>
                <w:color w:val="auto"/>
                <w:kern w:val="0"/>
                <w:szCs w:val="21"/>
                <w:highlight w:val="none"/>
              </w:rPr>
              <w:t>1</w:t>
            </w:r>
          </w:p>
        </w:tc>
        <w:tc>
          <w:tcPr>
            <w:tcW w:w="7796" w:type="dxa"/>
            <w:gridSpan w:val="2"/>
            <w:shd w:val="clear" w:color="auto" w:fill="auto"/>
            <w:vAlign w:val="center"/>
          </w:tcPr>
          <w:p w14:paraId="22D33F58">
            <w:pPr>
              <w:widowControl/>
              <w:adjustRightInd w:val="0"/>
              <w:snapToGrid w:val="0"/>
              <w:spacing w:line="360" w:lineRule="exact"/>
              <w:jc w:val="center"/>
              <w:rPr>
                <w:rFonts w:ascii="仿宋" w:hAnsi="仿宋" w:eastAsia="仿宋" w:cs="宋体"/>
                <w:b/>
                <w:bCs/>
                <w:i w:val="0"/>
                <w:iCs w:val="0"/>
                <w:color w:val="auto"/>
                <w:kern w:val="0"/>
                <w:szCs w:val="21"/>
                <w:highlight w:val="none"/>
                <w:shd w:val="pct10" w:color="auto" w:fill="FFFFFF"/>
              </w:rPr>
            </w:pPr>
            <w:r>
              <w:rPr>
                <w:rFonts w:hint="eastAsia" w:ascii="仿宋" w:hAnsi="仿宋" w:eastAsia="仿宋" w:cs="宋体"/>
                <w:b/>
                <w:bCs/>
                <w:i w:val="0"/>
                <w:iCs w:val="0"/>
                <w:color w:val="auto"/>
                <w:kern w:val="0"/>
                <w:szCs w:val="21"/>
                <w:highlight w:val="none"/>
              </w:rPr>
              <w:t>技术分</w:t>
            </w:r>
          </w:p>
        </w:tc>
        <w:tc>
          <w:tcPr>
            <w:tcW w:w="702" w:type="dxa"/>
            <w:shd w:val="clear" w:color="auto" w:fill="auto"/>
            <w:vAlign w:val="center"/>
          </w:tcPr>
          <w:p w14:paraId="0687DD78">
            <w:pPr>
              <w:widowControl/>
              <w:adjustRightInd w:val="0"/>
              <w:snapToGrid w:val="0"/>
              <w:spacing w:line="360" w:lineRule="exact"/>
              <w:jc w:val="center"/>
              <w:rPr>
                <w:rFonts w:ascii="仿宋" w:hAnsi="仿宋" w:eastAsia="仿宋" w:cs="宋体"/>
                <w:b/>
                <w:bCs/>
                <w:i w:val="0"/>
                <w:iCs w:val="0"/>
                <w:color w:val="auto"/>
                <w:kern w:val="0"/>
                <w:szCs w:val="21"/>
                <w:highlight w:val="none"/>
                <w:shd w:val="pct10" w:color="auto" w:fill="FFFFFF"/>
              </w:rPr>
            </w:pPr>
            <w:r>
              <w:rPr>
                <w:rFonts w:hint="eastAsia" w:ascii="仿宋" w:hAnsi="仿宋" w:eastAsia="仿宋" w:cs="宋体"/>
                <w:b/>
                <w:bCs/>
                <w:i w:val="0"/>
                <w:iCs w:val="0"/>
                <w:color w:val="auto"/>
                <w:kern w:val="0"/>
                <w:szCs w:val="21"/>
                <w:highlight w:val="none"/>
                <w:lang w:val="en-US" w:eastAsia="zh-CN"/>
              </w:rPr>
              <w:t>24</w:t>
            </w:r>
            <w:r>
              <w:rPr>
                <w:rFonts w:hint="eastAsia" w:ascii="仿宋" w:hAnsi="仿宋" w:eastAsia="仿宋" w:cs="宋体"/>
                <w:b/>
                <w:bCs/>
                <w:i w:val="0"/>
                <w:iCs w:val="0"/>
                <w:color w:val="auto"/>
                <w:kern w:val="0"/>
                <w:szCs w:val="21"/>
                <w:highlight w:val="none"/>
              </w:rPr>
              <w:t>分</w:t>
            </w:r>
          </w:p>
        </w:tc>
      </w:tr>
      <w:tr w14:paraId="11E0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60" w:type="dxa"/>
            <w:vAlign w:val="center"/>
          </w:tcPr>
          <w:p w14:paraId="401615A0">
            <w:pPr>
              <w:pStyle w:val="18"/>
              <w:adjustRightInd w:val="0"/>
              <w:snapToGrid w:val="0"/>
              <w:spacing w:line="360" w:lineRule="exact"/>
              <w:ind w:firstLine="0" w:firstLineChars="0"/>
              <w:jc w:val="center"/>
              <w:rPr>
                <w:rFonts w:ascii="仿宋" w:hAnsi="仿宋" w:eastAsia="仿宋" w:cs="宋体"/>
                <w:i w:val="0"/>
                <w:iCs w:val="0"/>
                <w:color w:val="auto"/>
                <w:szCs w:val="21"/>
                <w:highlight w:val="none"/>
              </w:rPr>
            </w:pPr>
            <w:r>
              <w:rPr>
                <w:rFonts w:hint="eastAsia" w:ascii="仿宋" w:hAnsi="仿宋" w:eastAsia="仿宋" w:cs="宋体"/>
                <w:i w:val="0"/>
                <w:iCs w:val="0"/>
                <w:color w:val="auto"/>
                <w:szCs w:val="21"/>
                <w:highlight w:val="none"/>
              </w:rPr>
              <w:t>1.1</w:t>
            </w:r>
          </w:p>
        </w:tc>
        <w:tc>
          <w:tcPr>
            <w:tcW w:w="1222" w:type="dxa"/>
            <w:vAlign w:val="center"/>
          </w:tcPr>
          <w:p w14:paraId="3A314740">
            <w:pPr>
              <w:pStyle w:val="18"/>
              <w:adjustRightInd w:val="0"/>
              <w:snapToGrid w:val="0"/>
              <w:spacing w:line="360" w:lineRule="exact"/>
              <w:ind w:firstLine="0" w:firstLineChars="0"/>
              <w:jc w:val="center"/>
              <w:rPr>
                <w:rFonts w:ascii="仿宋" w:hAnsi="仿宋" w:eastAsia="仿宋" w:cs="宋体"/>
                <w:i w:val="0"/>
                <w:iCs w:val="0"/>
                <w:color w:val="auto"/>
                <w:szCs w:val="21"/>
                <w:highlight w:val="none"/>
              </w:rPr>
            </w:pPr>
            <w:r>
              <w:rPr>
                <w:rFonts w:ascii="仿宋" w:hAnsi="仿宋" w:eastAsia="仿宋" w:cs="宋体"/>
                <w:i w:val="0"/>
                <w:iCs w:val="0"/>
                <w:color w:val="auto"/>
                <w:szCs w:val="21"/>
                <w:highlight w:val="none"/>
              </w:rPr>
              <w:t>生产服务</w:t>
            </w:r>
            <w:r>
              <w:rPr>
                <w:rFonts w:hint="eastAsia" w:ascii="仿宋" w:hAnsi="仿宋" w:eastAsia="仿宋" w:cs="宋体"/>
                <w:i w:val="0"/>
                <w:iCs w:val="0"/>
                <w:color w:val="auto"/>
                <w:szCs w:val="21"/>
                <w:highlight w:val="none"/>
              </w:rPr>
              <w:t>能力</w:t>
            </w:r>
          </w:p>
        </w:tc>
        <w:tc>
          <w:tcPr>
            <w:tcW w:w="6574" w:type="dxa"/>
            <w:tcBorders>
              <w:bottom w:val="single" w:color="auto" w:sz="4" w:space="0"/>
            </w:tcBorders>
            <w:vAlign w:val="center"/>
          </w:tcPr>
          <w:p w14:paraId="3E18021C">
            <w:pPr>
              <w:contextualSpacing/>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1.投标人具有固定的生产加工基地（不含办公区域）情况</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lang w:val="en-US" w:eastAsia="zh-CN"/>
              </w:rPr>
              <w:t>5分</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：500M</w:t>
            </w:r>
            <w:r>
              <w:rPr>
                <w:rFonts w:hint="eastAsia" w:ascii="仿宋" w:hAnsi="仿宋" w:eastAsia="仿宋"/>
                <w:color w:val="auto"/>
                <w:sz w:val="21"/>
                <w:szCs w:val="21"/>
                <w:highlight w:val="none"/>
                <w:vertAlign w:val="superscript"/>
              </w:rPr>
              <w:t>2</w:t>
            </w:r>
            <w:r>
              <w:rPr>
                <w:rFonts w:hint="eastAsia" w:ascii="仿宋" w:hAnsi="仿宋" w:eastAsia="仿宋"/>
                <w:color w:val="auto"/>
                <w:sz w:val="21"/>
                <w:szCs w:val="21"/>
                <w:highlight w:val="none"/>
              </w:rPr>
              <w:t>以下不得分，501M</w:t>
            </w:r>
            <w:r>
              <w:rPr>
                <w:rFonts w:hint="eastAsia" w:ascii="仿宋" w:hAnsi="仿宋" w:eastAsia="仿宋"/>
                <w:color w:val="auto"/>
                <w:sz w:val="21"/>
                <w:szCs w:val="21"/>
                <w:highlight w:val="none"/>
                <w:vertAlign w:val="superscript"/>
              </w:rPr>
              <w:t>2</w:t>
            </w:r>
            <w:r>
              <w:rPr>
                <w:rFonts w:hint="eastAsia" w:ascii="仿宋" w:hAnsi="仿宋" w:eastAsia="仿宋"/>
                <w:color w:val="auto"/>
                <w:sz w:val="21"/>
                <w:szCs w:val="21"/>
                <w:highlight w:val="none"/>
              </w:rPr>
              <w:t>—1000 M</w:t>
            </w:r>
            <w:r>
              <w:rPr>
                <w:rFonts w:hint="eastAsia" w:ascii="仿宋" w:hAnsi="仿宋" w:eastAsia="仿宋"/>
                <w:color w:val="auto"/>
                <w:sz w:val="21"/>
                <w:szCs w:val="21"/>
                <w:highlight w:val="none"/>
                <w:vertAlign w:val="superscript"/>
              </w:rPr>
              <w:t>2</w:t>
            </w:r>
            <w:r>
              <w:rPr>
                <w:rFonts w:hint="eastAsia" w:ascii="仿宋" w:hAnsi="仿宋" w:eastAsia="仿宋"/>
                <w:color w:val="auto"/>
                <w:sz w:val="21"/>
                <w:szCs w:val="21"/>
                <w:highlight w:val="none"/>
              </w:rPr>
              <w:t>得</w:t>
            </w:r>
            <w:r>
              <w:rPr>
                <w:rFonts w:hint="eastAsia" w:ascii="仿宋" w:hAnsi="仿宋" w:eastAsia="仿宋"/>
                <w:color w:val="auto"/>
                <w:sz w:val="21"/>
                <w:szCs w:val="21"/>
                <w:highlight w:val="none"/>
                <w:lang w:val="en-US" w:eastAsia="zh-CN"/>
              </w:rPr>
              <w:t>1</w:t>
            </w:r>
            <w:r>
              <w:rPr>
                <w:rFonts w:hint="eastAsia" w:ascii="仿宋" w:hAnsi="仿宋" w:eastAsia="仿宋"/>
                <w:color w:val="auto"/>
                <w:sz w:val="21"/>
                <w:szCs w:val="21"/>
                <w:highlight w:val="none"/>
              </w:rPr>
              <w:t>分，1001M</w:t>
            </w:r>
            <w:r>
              <w:rPr>
                <w:rFonts w:hint="eastAsia" w:ascii="仿宋" w:hAnsi="仿宋" w:eastAsia="仿宋"/>
                <w:color w:val="auto"/>
                <w:sz w:val="21"/>
                <w:szCs w:val="21"/>
                <w:highlight w:val="none"/>
                <w:vertAlign w:val="superscript"/>
              </w:rPr>
              <w:t>2</w:t>
            </w:r>
            <w:r>
              <w:rPr>
                <w:rFonts w:hint="eastAsia" w:ascii="仿宋" w:hAnsi="仿宋" w:eastAsia="仿宋"/>
                <w:color w:val="auto"/>
                <w:sz w:val="21"/>
                <w:szCs w:val="21"/>
                <w:highlight w:val="none"/>
              </w:rPr>
              <w:t>—2000 M</w:t>
            </w:r>
            <w:r>
              <w:rPr>
                <w:rFonts w:hint="eastAsia" w:ascii="仿宋" w:hAnsi="仿宋" w:eastAsia="仿宋"/>
                <w:color w:val="auto"/>
                <w:sz w:val="21"/>
                <w:szCs w:val="21"/>
                <w:highlight w:val="none"/>
                <w:vertAlign w:val="superscript"/>
              </w:rPr>
              <w:t>2</w:t>
            </w:r>
            <w:r>
              <w:rPr>
                <w:rFonts w:hint="eastAsia" w:ascii="仿宋" w:hAnsi="仿宋" w:eastAsia="仿宋"/>
                <w:color w:val="auto"/>
                <w:sz w:val="21"/>
                <w:szCs w:val="21"/>
                <w:highlight w:val="none"/>
              </w:rPr>
              <w:t>得</w:t>
            </w: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分，2001M</w:t>
            </w:r>
            <w:r>
              <w:rPr>
                <w:rFonts w:hint="eastAsia" w:ascii="仿宋" w:hAnsi="仿宋" w:eastAsia="仿宋"/>
                <w:color w:val="auto"/>
                <w:sz w:val="21"/>
                <w:szCs w:val="21"/>
                <w:highlight w:val="none"/>
                <w:vertAlign w:val="superscript"/>
              </w:rPr>
              <w:t>2</w:t>
            </w:r>
            <w:r>
              <w:rPr>
                <w:rFonts w:hint="eastAsia" w:ascii="仿宋" w:hAnsi="仿宋" w:eastAsia="仿宋"/>
                <w:color w:val="auto"/>
                <w:sz w:val="21"/>
                <w:szCs w:val="21"/>
                <w:highlight w:val="none"/>
              </w:rPr>
              <w:t>—3000 M</w:t>
            </w:r>
            <w:r>
              <w:rPr>
                <w:rFonts w:hint="eastAsia" w:ascii="仿宋" w:hAnsi="仿宋" w:eastAsia="仿宋"/>
                <w:color w:val="auto"/>
                <w:sz w:val="21"/>
                <w:szCs w:val="21"/>
                <w:highlight w:val="none"/>
                <w:vertAlign w:val="superscript"/>
              </w:rPr>
              <w:t>2</w:t>
            </w:r>
            <w:r>
              <w:rPr>
                <w:rFonts w:hint="eastAsia" w:ascii="仿宋" w:hAnsi="仿宋" w:eastAsia="仿宋"/>
                <w:color w:val="auto"/>
                <w:sz w:val="21"/>
                <w:szCs w:val="21"/>
                <w:highlight w:val="none"/>
              </w:rPr>
              <w:t>得</w:t>
            </w:r>
            <w:r>
              <w:rPr>
                <w:rFonts w:hint="eastAsia" w:ascii="仿宋" w:hAnsi="仿宋" w:eastAsia="仿宋"/>
                <w:color w:val="auto"/>
                <w:sz w:val="21"/>
                <w:szCs w:val="21"/>
                <w:highlight w:val="none"/>
                <w:lang w:val="en-US" w:eastAsia="zh-CN"/>
              </w:rPr>
              <w:t>3</w:t>
            </w:r>
            <w:r>
              <w:rPr>
                <w:rFonts w:hint="eastAsia" w:ascii="仿宋" w:hAnsi="仿宋" w:eastAsia="仿宋"/>
                <w:color w:val="auto"/>
                <w:sz w:val="21"/>
                <w:szCs w:val="21"/>
                <w:highlight w:val="none"/>
              </w:rPr>
              <w:t>分，3001M</w:t>
            </w:r>
            <w:r>
              <w:rPr>
                <w:rFonts w:hint="eastAsia" w:ascii="仿宋" w:hAnsi="仿宋" w:eastAsia="仿宋"/>
                <w:color w:val="auto"/>
                <w:sz w:val="21"/>
                <w:szCs w:val="21"/>
                <w:highlight w:val="none"/>
                <w:vertAlign w:val="superscript"/>
              </w:rPr>
              <w:t>2</w:t>
            </w:r>
            <w:r>
              <w:rPr>
                <w:rFonts w:hint="eastAsia" w:ascii="仿宋" w:hAnsi="仿宋" w:eastAsia="仿宋"/>
                <w:color w:val="auto"/>
                <w:sz w:val="21"/>
                <w:szCs w:val="21"/>
                <w:highlight w:val="none"/>
              </w:rPr>
              <w:t>—4000M</w:t>
            </w:r>
            <w:r>
              <w:rPr>
                <w:rFonts w:hint="eastAsia" w:ascii="仿宋" w:hAnsi="仿宋" w:eastAsia="仿宋"/>
                <w:color w:val="auto"/>
                <w:sz w:val="21"/>
                <w:szCs w:val="21"/>
                <w:highlight w:val="none"/>
                <w:vertAlign w:val="superscript"/>
              </w:rPr>
              <w:t>2</w:t>
            </w:r>
            <w:r>
              <w:rPr>
                <w:rFonts w:hint="eastAsia" w:ascii="仿宋" w:hAnsi="仿宋" w:eastAsia="仿宋"/>
                <w:color w:val="auto"/>
                <w:sz w:val="21"/>
                <w:szCs w:val="21"/>
                <w:highlight w:val="none"/>
              </w:rPr>
              <w:t>得</w:t>
            </w:r>
            <w:r>
              <w:rPr>
                <w:rFonts w:hint="eastAsia" w:ascii="仿宋" w:hAnsi="仿宋" w:eastAsia="仿宋"/>
                <w:color w:val="auto"/>
                <w:sz w:val="21"/>
                <w:szCs w:val="21"/>
                <w:highlight w:val="none"/>
                <w:lang w:val="en-US" w:eastAsia="zh-CN"/>
              </w:rPr>
              <w:t>4</w:t>
            </w:r>
            <w:r>
              <w:rPr>
                <w:rFonts w:hint="eastAsia" w:ascii="仿宋" w:hAnsi="仿宋" w:eastAsia="仿宋"/>
                <w:color w:val="auto"/>
                <w:sz w:val="21"/>
                <w:szCs w:val="21"/>
                <w:highlight w:val="none"/>
              </w:rPr>
              <w:t>分，4000 M</w:t>
            </w:r>
            <w:r>
              <w:rPr>
                <w:rFonts w:hint="eastAsia" w:ascii="仿宋" w:hAnsi="仿宋" w:eastAsia="仿宋"/>
                <w:color w:val="auto"/>
                <w:sz w:val="21"/>
                <w:szCs w:val="21"/>
                <w:highlight w:val="none"/>
                <w:vertAlign w:val="superscript"/>
              </w:rPr>
              <w:t>2</w:t>
            </w:r>
            <w:r>
              <w:rPr>
                <w:rFonts w:hint="eastAsia" w:ascii="仿宋" w:hAnsi="仿宋" w:eastAsia="仿宋"/>
                <w:color w:val="auto"/>
                <w:sz w:val="21"/>
                <w:szCs w:val="21"/>
                <w:highlight w:val="none"/>
              </w:rPr>
              <w:t>以上得</w:t>
            </w:r>
            <w:r>
              <w:rPr>
                <w:rFonts w:hint="eastAsia" w:ascii="仿宋" w:hAnsi="仿宋" w:eastAsia="仿宋"/>
                <w:color w:val="auto"/>
                <w:sz w:val="21"/>
                <w:szCs w:val="21"/>
                <w:highlight w:val="none"/>
                <w:lang w:val="en-US" w:eastAsia="zh-CN"/>
              </w:rPr>
              <w:t>5</w:t>
            </w:r>
            <w:r>
              <w:rPr>
                <w:rFonts w:hint="eastAsia" w:ascii="仿宋" w:hAnsi="仿宋" w:eastAsia="仿宋"/>
                <w:color w:val="auto"/>
                <w:sz w:val="21"/>
                <w:szCs w:val="21"/>
                <w:highlight w:val="none"/>
              </w:rPr>
              <w:t>分。需提供生产加工基地的产权证书复印件或租赁合同复印件和，不提供不得分。</w:t>
            </w:r>
          </w:p>
          <w:p w14:paraId="0CBC1F3E">
            <w:pPr>
              <w:contextualSpacing/>
              <w:jc w:val="left"/>
              <w:rPr>
                <w:rFonts w:ascii="仿宋" w:hAnsi="仿宋" w:eastAsia="仿宋" w:cs="宋体"/>
                <w:i w:val="0"/>
                <w:iCs w:val="0"/>
                <w:color w:val="auto"/>
                <w:szCs w:val="21"/>
                <w:highlight w:val="none"/>
              </w:rPr>
            </w:pP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.投标人生产加工基地按照西式烘焙生产要求配置的设备设施情况</w:t>
            </w:r>
            <w:r>
              <w:rPr>
                <w:rFonts w:hint="eastAsia" w:ascii="仿宋" w:hAnsi="仿宋" w:eastAsia="仿宋"/>
                <w:color w:val="auto"/>
                <w:sz w:val="21"/>
                <w:szCs w:val="21"/>
                <w:highlight w:val="none"/>
                <w:lang w:eastAsia="zh-CN"/>
              </w:rPr>
              <w:t>（</w:t>
            </w:r>
            <w:r>
              <w:rPr>
                <w:rFonts w:hint="default" w:ascii="仿宋" w:hAnsi="仿宋" w:eastAsia="仿宋"/>
                <w:color w:val="auto"/>
                <w:sz w:val="21"/>
                <w:szCs w:val="21"/>
                <w:highlight w:val="none"/>
                <w:lang w:val="en-US" w:eastAsia="zh-CN"/>
              </w:rPr>
              <w:t>10</w:t>
            </w:r>
            <w:r>
              <w:rPr>
                <w:rFonts w:hint="eastAsia" w:ascii="仿宋" w:hAnsi="仿宋" w:eastAsia="仿宋"/>
                <w:color w:val="auto"/>
                <w:sz w:val="21"/>
                <w:szCs w:val="21"/>
                <w:highlight w:val="none"/>
                <w:lang w:val="en-US" w:eastAsia="zh-CN"/>
              </w:rPr>
              <w:t>分</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：根据生产设备设施配置的完备性、专业性、先进性，由评委对各投标人横向比较后综合打分：优秀</w:t>
            </w:r>
            <w:r>
              <w:rPr>
                <w:rFonts w:hint="eastAsia" w:ascii="仿宋" w:hAnsi="仿宋" w:eastAsia="仿宋"/>
                <w:color w:val="auto"/>
                <w:sz w:val="21"/>
                <w:szCs w:val="21"/>
                <w:highlight w:val="none"/>
                <w:lang w:val="en-US" w:eastAsia="zh-CN"/>
              </w:rPr>
              <w:t>8-10</w:t>
            </w:r>
            <w:r>
              <w:rPr>
                <w:rFonts w:hint="eastAsia" w:ascii="仿宋" w:hAnsi="仿宋" w:eastAsia="仿宋"/>
                <w:color w:val="auto"/>
                <w:sz w:val="21"/>
                <w:szCs w:val="21"/>
                <w:highlight w:val="none"/>
              </w:rPr>
              <w:t>分；良好</w:t>
            </w:r>
            <w:r>
              <w:rPr>
                <w:rFonts w:hint="eastAsia" w:ascii="仿宋" w:hAnsi="仿宋" w:eastAsia="仿宋"/>
                <w:color w:val="auto"/>
                <w:sz w:val="21"/>
                <w:szCs w:val="21"/>
                <w:highlight w:val="none"/>
                <w:lang w:val="en-US" w:eastAsia="zh-CN"/>
              </w:rPr>
              <w:t>5-7</w:t>
            </w:r>
            <w:r>
              <w:rPr>
                <w:rFonts w:hint="eastAsia" w:ascii="仿宋" w:hAnsi="仿宋" w:eastAsia="仿宋"/>
                <w:color w:val="auto"/>
                <w:sz w:val="21"/>
                <w:szCs w:val="21"/>
                <w:highlight w:val="none"/>
              </w:rPr>
              <w:t>分；中等</w:t>
            </w: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w:t>
            </w:r>
            <w:r>
              <w:rPr>
                <w:rFonts w:hint="eastAsia" w:ascii="仿宋" w:hAnsi="仿宋" w:eastAsia="仿宋"/>
                <w:color w:val="auto"/>
                <w:sz w:val="21"/>
                <w:szCs w:val="21"/>
                <w:highlight w:val="none"/>
                <w:lang w:val="en-US" w:eastAsia="zh-CN"/>
              </w:rPr>
              <w:t>4</w:t>
            </w:r>
            <w:r>
              <w:rPr>
                <w:rFonts w:hint="eastAsia" w:ascii="仿宋" w:hAnsi="仿宋" w:eastAsia="仿宋"/>
                <w:color w:val="auto"/>
                <w:sz w:val="21"/>
                <w:szCs w:val="21"/>
                <w:highlight w:val="none"/>
              </w:rPr>
              <w:t>分；一般1分。需提供生产设备设施清单和现场照片打印件，不提供不得分。</w:t>
            </w:r>
          </w:p>
        </w:tc>
        <w:tc>
          <w:tcPr>
            <w:tcW w:w="702" w:type="dxa"/>
            <w:tcBorders>
              <w:bottom w:val="single" w:color="auto" w:sz="4" w:space="0"/>
            </w:tcBorders>
            <w:vAlign w:val="center"/>
          </w:tcPr>
          <w:p w14:paraId="21F9B23D">
            <w:pPr>
              <w:adjustRightInd w:val="0"/>
              <w:snapToGrid w:val="0"/>
              <w:spacing w:line="360" w:lineRule="exact"/>
              <w:jc w:val="center"/>
              <w:rPr>
                <w:rFonts w:hint="default" w:ascii="仿宋" w:hAnsi="仿宋" w:eastAsia="仿宋" w:cs="宋体"/>
                <w:i w:val="0"/>
                <w:iCs w:val="0"/>
                <w:color w:val="auto"/>
                <w:szCs w:val="21"/>
                <w:highlight w:val="none"/>
                <w:lang w:val="en-US" w:eastAsia="zh-CN"/>
              </w:rPr>
            </w:pPr>
            <w:r>
              <w:rPr>
                <w:rFonts w:hint="eastAsia" w:ascii="仿宋" w:hAnsi="仿宋" w:eastAsia="仿宋" w:cs="宋体"/>
                <w:i w:val="0"/>
                <w:iCs w:val="0"/>
                <w:color w:val="auto"/>
                <w:szCs w:val="21"/>
                <w:highlight w:val="none"/>
                <w:lang w:val="en-US" w:eastAsia="zh-CN"/>
              </w:rPr>
              <w:t>15</w:t>
            </w:r>
            <w:r>
              <w:rPr>
                <w:rFonts w:hint="eastAsia" w:ascii="仿宋" w:hAnsi="仿宋" w:eastAsia="仿宋" w:cs="宋体"/>
                <w:i w:val="0"/>
                <w:iCs w:val="0"/>
                <w:color w:val="auto"/>
                <w:szCs w:val="21"/>
                <w:highlight w:val="none"/>
              </w:rPr>
              <w:t>分</w:t>
            </w:r>
          </w:p>
        </w:tc>
      </w:tr>
      <w:tr w14:paraId="0DA7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60" w:type="dxa"/>
            <w:vAlign w:val="center"/>
          </w:tcPr>
          <w:p w14:paraId="49E89352">
            <w:pPr>
              <w:pStyle w:val="18"/>
              <w:adjustRightInd w:val="0"/>
              <w:snapToGrid w:val="0"/>
              <w:spacing w:line="360" w:lineRule="exact"/>
              <w:ind w:firstLine="0" w:firstLineChars="0"/>
              <w:jc w:val="center"/>
              <w:rPr>
                <w:rFonts w:ascii="仿宋" w:hAnsi="仿宋" w:eastAsia="仿宋" w:cs="宋体"/>
                <w:i w:val="0"/>
                <w:iCs w:val="0"/>
                <w:color w:val="auto"/>
                <w:szCs w:val="21"/>
                <w:highlight w:val="none"/>
              </w:rPr>
            </w:pPr>
            <w:r>
              <w:rPr>
                <w:rFonts w:hint="eastAsia" w:ascii="仿宋" w:hAnsi="仿宋" w:eastAsia="仿宋" w:cs="宋体"/>
                <w:i w:val="0"/>
                <w:iCs w:val="0"/>
                <w:color w:val="auto"/>
                <w:szCs w:val="21"/>
                <w:highlight w:val="none"/>
              </w:rPr>
              <w:t>1.2</w:t>
            </w:r>
          </w:p>
        </w:tc>
        <w:tc>
          <w:tcPr>
            <w:tcW w:w="1222" w:type="dxa"/>
            <w:vAlign w:val="center"/>
          </w:tcPr>
          <w:p w14:paraId="5DAE775B">
            <w:pPr>
              <w:pStyle w:val="18"/>
              <w:adjustRightInd w:val="0"/>
              <w:snapToGrid w:val="0"/>
              <w:spacing w:line="360" w:lineRule="exact"/>
              <w:ind w:firstLine="0" w:firstLineChars="0"/>
              <w:jc w:val="center"/>
              <w:rPr>
                <w:rFonts w:ascii="仿宋" w:hAnsi="仿宋" w:eastAsia="仿宋" w:cs="宋体"/>
                <w:i w:val="0"/>
                <w:iCs w:val="0"/>
                <w:color w:val="auto"/>
                <w:szCs w:val="21"/>
                <w:highlight w:val="none"/>
              </w:rPr>
            </w:pPr>
            <w:r>
              <w:rPr>
                <w:rFonts w:ascii="仿宋" w:hAnsi="仿宋" w:eastAsia="仿宋" w:cs="宋体"/>
                <w:i w:val="0"/>
                <w:iCs w:val="0"/>
                <w:color w:val="auto"/>
                <w:szCs w:val="21"/>
                <w:highlight w:val="none"/>
              </w:rPr>
              <w:t>生产</w:t>
            </w:r>
            <w:r>
              <w:rPr>
                <w:rFonts w:hint="eastAsia" w:ascii="仿宋" w:hAnsi="仿宋" w:eastAsia="仿宋" w:cs="宋体"/>
                <w:i w:val="0"/>
                <w:iCs w:val="0"/>
                <w:color w:val="auto"/>
                <w:szCs w:val="21"/>
                <w:highlight w:val="none"/>
                <w:lang w:eastAsia="zh-CN"/>
              </w:rPr>
              <w:t>安全</w:t>
            </w:r>
            <w:r>
              <w:rPr>
                <w:rFonts w:ascii="仿宋" w:hAnsi="仿宋" w:eastAsia="仿宋" w:cs="宋体"/>
                <w:i w:val="0"/>
                <w:iCs w:val="0"/>
                <w:color w:val="auto"/>
                <w:szCs w:val="21"/>
                <w:highlight w:val="none"/>
              </w:rPr>
              <w:t>能力</w:t>
            </w:r>
          </w:p>
        </w:tc>
        <w:tc>
          <w:tcPr>
            <w:tcW w:w="6574" w:type="dxa"/>
            <w:vAlign w:val="center"/>
          </w:tcPr>
          <w:p w14:paraId="7EB44662">
            <w:pPr>
              <w:jc w:val="left"/>
              <w:rPr>
                <w:rFonts w:hint="eastAsia" w:ascii="仿宋" w:hAnsi="仿宋" w:eastAsia="仿宋"/>
                <w:color w:val="auto"/>
                <w:sz w:val="24"/>
                <w:highlight w:val="none"/>
                <w:lang w:eastAsia="zh-CN"/>
              </w:rPr>
            </w:pPr>
            <w:r>
              <w:rPr>
                <w:rFonts w:hint="eastAsia" w:ascii="仿宋" w:hAnsi="仿宋" w:eastAsia="仿宋"/>
                <w:color w:val="auto"/>
                <w:sz w:val="21"/>
                <w:szCs w:val="21"/>
                <w:highlight w:val="none"/>
              </w:rPr>
              <w:t>投标人配备食品安全检验员</w:t>
            </w:r>
            <w:r>
              <w:rPr>
                <w:rFonts w:hint="eastAsia" w:ascii="仿宋" w:hAnsi="仿宋" w:eastAsia="仿宋"/>
                <w:color w:val="auto"/>
                <w:sz w:val="21"/>
                <w:szCs w:val="21"/>
                <w:highlight w:val="none"/>
                <w:lang w:val="en-US" w:eastAsia="zh-CN"/>
              </w:rPr>
              <w:t>情况（5</w:t>
            </w:r>
            <w:r>
              <w:rPr>
                <w:rFonts w:hint="eastAsia" w:ascii="仿宋" w:hAnsi="仿宋" w:eastAsia="仿宋"/>
                <w:color w:val="auto"/>
                <w:sz w:val="21"/>
                <w:szCs w:val="21"/>
                <w:highlight w:val="none"/>
              </w:rPr>
              <w:t>分</w:t>
            </w:r>
            <w:r>
              <w:rPr>
                <w:rFonts w:hint="eastAsia" w:ascii="仿宋" w:hAnsi="仿宋" w:eastAsia="仿宋"/>
                <w:color w:val="auto"/>
                <w:sz w:val="21"/>
                <w:szCs w:val="21"/>
                <w:highlight w:val="none"/>
                <w:lang w:eastAsia="zh-CN"/>
              </w:rPr>
              <w:t>）：配备</w:t>
            </w:r>
            <w:r>
              <w:rPr>
                <w:rFonts w:hint="eastAsia" w:ascii="仿宋" w:hAnsi="仿宋" w:eastAsia="仿宋"/>
                <w:color w:val="auto"/>
                <w:sz w:val="21"/>
                <w:szCs w:val="21"/>
                <w:highlight w:val="none"/>
                <w:lang w:val="en-US" w:eastAsia="zh-CN"/>
              </w:rPr>
              <w:t>3人及以上得5分，配备2人得3分，配备1人得1分，</w:t>
            </w:r>
            <w:r>
              <w:rPr>
                <w:rFonts w:hint="eastAsia" w:ascii="仿宋" w:hAnsi="仿宋" w:eastAsia="仿宋"/>
                <w:color w:val="auto"/>
                <w:sz w:val="21"/>
                <w:szCs w:val="21"/>
                <w:highlight w:val="none"/>
              </w:rPr>
              <w:t>需提供员工近期食品出厂检验技能培训合格证书复印件、近三个月投标人单位社保证明复印件，不提供不得分。</w:t>
            </w:r>
          </w:p>
        </w:tc>
        <w:tc>
          <w:tcPr>
            <w:tcW w:w="702" w:type="dxa"/>
            <w:vAlign w:val="center"/>
          </w:tcPr>
          <w:p w14:paraId="14FD078E">
            <w:pPr>
              <w:pStyle w:val="18"/>
              <w:adjustRightInd w:val="0"/>
              <w:snapToGrid w:val="0"/>
              <w:spacing w:line="360" w:lineRule="exact"/>
              <w:ind w:firstLine="0" w:firstLineChars="0"/>
              <w:jc w:val="both"/>
              <w:rPr>
                <w:rFonts w:hint="eastAsia" w:ascii="仿宋" w:hAnsi="仿宋" w:eastAsia="仿宋" w:cs="宋体"/>
                <w:i w:val="0"/>
                <w:iCs w:val="0"/>
                <w:color w:val="auto"/>
                <w:szCs w:val="21"/>
                <w:highlight w:val="none"/>
                <w:lang w:val="en-US" w:eastAsia="zh-CN"/>
              </w:rPr>
            </w:pPr>
            <w:r>
              <w:rPr>
                <w:rFonts w:hint="eastAsia" w:ascii="仿宋" w:hAnsi="仿宋" w:eastAsia="仿宋" w:cs="宋体"/>
                <w:i w:val="0"/>
                <w:iCs w:val="0"/>
                <w:color w:val="auto"/>
                <w:szCs w:val="21"/>
                <w:highlight w:val="none"/>
                <w:lang w:val="en-US" w:eastAsia="zh-CN"/>
              </w:rPr>
              <w:t>5</w:t>
            </w:r>
            <w:r>
              <w:rPr>
                <w:rFonts w:hint="eastAsia" w:ascii="仿宋" w:hAnsi="仿宋" w:eastAsia="仿宋" w:cs="宋体"/>
                <w:i w:val="0"/>
                <w:iCs w:val="0"/>
                <w:color w:val="auto"/>
                <w:szCs w:val="21"/>
                <w:highlight w:val="none"/>
              </w:rPr>
              <w:t>分</w:t>
            </w:r>
          </w:p>
        </w:tc>
      </w:tr>
      <w:tr w14:paraId="54D3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60" w:type="dxa"/>
            <w:vAlign w:val="center"/>
          </w:tcPr>
          <w:p w14:paraId="15576235">
            <w:pPr>
              <w:widowControl/>
              <w:adjustRightInd w:val="0"/>
              <w:snapToGrid w:val="0"/>
              <w:spacing w:line="360" w:lineRule="exact"/>
              <w:jc w:val="center"/>
              <w:rPr>
                <w:rFonts w:ascii="仿宋" w:hAnsi="仿宋" w:eastAsia="仿宋" w:cs="宋体"/>
                <w:bCs/>
                <w:i w:val="0"/>
                <w:iCs w:val="0"/>
                <w:color w:val="auto"/>
                <w:kern w:val="0"/>
                <w:szCs w:val="21"/>
                <w:highlight w:val="none"/>
              </w:rPr>
            </w:pPr>
            <w:r>
              <w:rPr>
                <w:rFonts w:hint="eastAsia" w:ascii="仿宋" w:hAnsi="仿宋" w:eastAsia="仿宋" w:cs="宋体"/>
                <w:bCs/>
                <w:i w:val="0"/>
                <w:iCs w:val="0"/>
                <w:color w:val="auto"/>
                <w:kern w:val="0"/>
                <w:szCs w:val="21"/>
                <w:highlight w:val="none"/>
              </w:rPr>
              <w:t>1.3</w:t>
            </w:r>
          </w:p>
        </w:tc>
        <w:tc>
          <w:tcPr>
            <w:tcW w:w="1222" w:type="dxa"/>
            <w:vAlign w:val="center"/>
          </w:tcPr>
          <w:p w14:paraId="23781C1C">
            <w:pPr>
              <w:pStyle w:val="18"/>
              <w:adjustRightInd w:val="0"/>
              <w:snapToGrid w:val="0"/>
              <w:spacing w:line="360" w:lineRule="exact"/>
              <w:ind w:firstLine="0" w:firstLineChars="0"/>
              <w:jc w:val="center"/>
              <w:rPr>
                <w:rFonts w:ascii="仿宋" w:hAnsi="仿宋" w:eastAsia="仿宋" w:cs="宋体"/>
                <w:i w:val="0"/>
                <w:iCs w:val="0"/>
                <w:color w:val="auto"/>
                <w:szCs w:val="21"/>
                <w:highlight w:val="none"/>
              </w:rPr>
            </w:pPr>
            <w:r>
              <w:rPr>
                <w:rFonts w:ascii="仿宋" w:hAnsi="仿宋" w:eastAsia="仿宋" w:cs="宋体"/>
                <w:i w:val="0"/>
                <w:iCs w:val="0"/>
                <w:color w:val="auto"/>
                <w:szCs w:val="21"/>
                <w:highlight w:val="none"/>
              </w:rPr>
              <w:t>生产原料质量</w:t>
            </w:r>
          </w:p>
        </w:tc>
        <w:tc>
          <w:tcPr>
            <w:tcW w:w="6574" w:type="dxa"/>
            <w:vAlign w:val="center"/>
          </w:tcPr>
          <w:p w14:paraId="1B5E8C06">
            <w:pPr>
              <w:widowControl/>
              <w:spacing w:line="300" w:lineRule="exact"/>
              <w:rPr>
                <w:rFonts w:hint="eastAsia" w:ascii="仿宋" w:hAnsi="仿宋" w:eastAsia="仿宋" w:cs="宋体"/>
                <w:i w:val="0"/>
                <w:iCs w:val="0"/>
                <w:color w:val="auto"/>
                <w:szCs w:val="21"/>
                <w:highlight w:val="none"/>
              </w:rPr>
            </w:pPr>
            <w:r>
              <w:rPr>
                <w:rFonts w:hint="eastAsia" w:ascii="仿宋" w:hAnsi="仿宋" w:eastAsia="仿宋" w:cs="宋体"/>
                <w:i w:val="0"/>
                <w:iCs w:val="0"/>
                <w:color w:val="auto"/>
                <w:szCs w:val="21"/>
                <w:highlight w:val="none"/>
              </w:rPr>
              <w:t>投标人用于西式烘焙产品加工使用的面粉、黄油、牛奶、奶油四种主要食品原材料均为盖得排行榜前10名的得</w:t>
            </w:r>
            <w:r>
              <w:rPr>
                <w:rFonts w:hint="eastAsia" w:ascii="仿宋" w:hAnsi="仿宋" w:eastAsia="仿宋" w:cs="宋体"/>
                <w:i w:val="0"/>
                <w:iCs w:val="0"/>
                <w:color w:val="auto"/>
                <w:szCs w:val="21"/>
                <w:highlight w:val="none"/>
                <w:lang w:val="en-US" w:eastAsia="zh-CN"/>
              </w:rPr>
              <w:t>4</w:t>
            </w:r>
            <w:r>
              <w:rPr>
                <w:rFonts w:hint="eastAsia" w:ascii="仿宋" w:hAnsi="仿宋" w:eastAsia="仿宋" w:cs="宋体"/>
                <w:i w:val="0"/>
                <w:iCs w:val="0"/>
                <w:color w:val="auto"/>
                <w:szCs w:val="21"/>
                <w:highlight w:val="none"/>
              </w:rPr>
              <w:t>分，仅有三种主要食品原材料为盖得排行榜前10名的得</w:t>
            </w:r>
            <w:r>
              <w:rPr>
                <w:rFonts w:hint="eastAsia" w:ascii="仿宋" w:hAnsi="仿宋" w:eastAsia="仿宋" w:cs="宋体"/>
                <w:i w:val="0"/>
                <w:iCs w:val="0"/>
                <w:color w:val="auto"/>
                <w:szCs w:val="21"/>
                <w:highlight w:val="none"/>
                <w:lang w:val="en-US" w:eastAsia="zh-CN"/>
              </w:rPr>
              <w:t>3</w:t>
            </w:r>
            <w:r>
              <w:rPr>
                <w:rFonts w:hint="eastAsia" w:ascii="仿宋" w:hAnsi="仿宋" w:eastAsia="仿宋" w:cs="宋体"/>
                <w:i w:val="0"/>
                <w:iCs w:val="0"/>
                <w:color w:val="auto"/>
                <w:szCs w:val="21"/>
                <w:highlight w:val="none"/>
              </w:rPr>
              <w:t>分；仅有二种主要食品原材料为盖得排行榜前10名的得</w:t>
            </w:r>
            <w:r>
              <w:rPr>
                <w:rFonts w:hint="eastAsia" w:ascii="仿宋" w:hAnsi="仿宋" w:eastAsia="仿宋" w:cs="宋体"/>
                <w:i w:val="0"/>
                <w:iCs w:val="0"/>
                <w:color w:val="auto"/>
                <w:szCs w:val="21"/>
                <w:highlight w:val="none"/>
                <w:lang w:val="en-US" w:eastAsia="zh-CN"/>
              </w:rPr>
              <w:t>2</w:t>
            </w:r>
            <w:r>
              <w:rPr>
                <w:rFonts w:hint="eastAsia" w:ascii="仿宋" w:hAnsi="仿宋" w:eastAsia="仿宋" w:cs="宋体"/>
                <w:i w:val="0"/>
                <w:iCs w:val="0"/>
                <w:color w:val="auto"/>
                <w:szCs w:val="21"/>
                <w:highlight w:val="none"/>
              </w:rPr>
              <w:t>分；仅有一种主要食品原材料为盖得排行榜前10名的得</w:t>
            </w:r>
            <w:r>
              <w:rPr>
                <w:rFonts w:hint="eastAsia" w:ascii="仿宋" w:hAnsi="仿宋" w:eastAsia="仿宋" w:cs="宋体"/>
                <w:i w:val="0"/>
                <w:iCs w:val="0"/>
                <w:color w:val="auto"/>
                <w:szCs w:val="21"/>
                <w:highlight w:val="none"/>
                <w:lang w:val="en-US" w:eastAsia="zh-CN"/>
              </w:rPr>
              <w:t>1</w:t>
            </w:r>
            <w:r>
              <w:rPr>
                <w:rFonts w:hint="eastAsia" w:ascii="仿宋" w:hAnsi="仿宋" w:eastAsia="仿宋" w:cs="宋体"/>
                <w:i w:val="0"/>
                <w:iCs w:val="0"/>
                <w:color w:val="auto"/>
                <w:szCs w:val="21"/>
                <w:highlight w:val="none"/>
              </w:rPr>
              <w:t>分。</w:t>
            </w:r>
          </w:p>
          <w:p w14:paraId="1A7F1135">
            <w:pPr>
              <w:widowControl/>
              <w:spacing w:line="300" w:lineRule="exact"/>
              <w:rPr>
                <w:rFonts w:ascii="仿宋" w:hAnsi="仿宋" w:eastAsia="仿宋" w:cs="宋体"/>
                <w:i w:val="0"/>
                <w:iCs w:val="0"/>
                <w:color w:val="auto"/>
                <w:szCs w:val="21"/>
                <w:highlight w:val="none"/>
              </w:rPr>
            </w:pPr>
            <w:r>
              <w:rPr>
                <w:rFonts w:hint="eastAsia" w:ascii="仿宋" w:hAnsi="仿宋" w:eastAsia="仿宋" w:cs="宋体"/>
                <w:i w:val="0"/>
                <w:iCs w:val="0"/>
                <w:color w:val="auto"/>
                <w:szCs w:val="21"/>
                <w:highlight w:val="none"/>
                <w:lang w:val="en-US" w:eastAsia="zh-CN"/>
              </w:rPr>
              <w:t>注：</w:t>
            </w:r>
            <w:r>
              <w:rPr>
                <w:rFonts w:hint="eastAsia" w:ascii="仿宋" w:hAnsi="仿宋" w:eastAsia="仿宋" w:cs="宋体"/>
                <w:i w:val="0"/>
                <w:iCs w:val="0"/>
                <w:color w:val="auto"/>
                <w:szCs w:val="21"/>
                <w:highlight w:val="none"/>
              </w:rPr>
              <w:t>需提供202</w:t>
            </w:r>
            <w:r>
              <w:rPr>
                <w:rFonts w:hint="eastAsia" w:ascii="仿宋" w:hAnsi="仿宋" w:eastAsia="仿宋" w:cs="宋体"/>
                <w:i w:val="0"/>
                <w:iCs w:val="0"/>
                <w:color w:val="auto"/>
                <w:szCs w:val="21"/>
                <w:highlight w:val="none"/>
                <w:lang w:val="en-US" w:eastAsia="zh-CN"/>
              </w:rPr>
              <w:t>4</w:t>
            </w:r>
            <w:r>
              <w:rPr>
                <w:rFonts w:hint="eastAsia" w:ascii="仿宋" w:hAnsi="仿宋" w:eastAsia="仿宋" w:cs="宋体"/>
                <w:i w:val="0"/>
                <w:iCs w:val="0"/>
                <w:color w:val="auto"/>
                <w:szCs w:val="21"/>
                <w:highlight w:val="none"/>
              </w:rPr>
              <w:t>年</w:t>
            </w:r>
            <w:r>
              <w:rPr>
                <w:rFonts w:hint="eastAsia" w:ascii="仿宋" w:hAnsi="仿宋" w:eastAsia="仿宋" w:cs="宋体"/>
                <w:i w:val="0"/>
                <w:iCs w:val="0"/>
                <w:color w:val="auto"/>
                <w:szCs w:val="21"/>
                <w:highlight w:val="none"/>
                <w:lang w:val="en-US" w:eastAsia="zh-CN"/>
              </w:rPr>
              <w:t>6</w:t>
            </w:r>
            <w:r>
              <w:rPr>
                <w:rFonts w:hint="eastAsia" w:ascii="仿宋" w:hAnsi="仿宋" w:eastAsia="仿宋" w:cs="宋体"/>
                <w:i w:val="0"/>
                <w:iCs w:val="0"/>
                <w:color w:val="auto"/>
                <w:szCs w:val="21"/>
                <w:highlight w:val="none"/>
              </w:rPr>
              <w:t>月1日-202</w:t>
            </w:r>
            <w:r>
              <w:rPr>
                <w:rFonts w:hint="eastAsia" w:ascii="仿宋" w:hAnsi="仿宋" w:eastAsia="仿宋" w:cs="宋体"/>
                <w:i w:val="0"/>
                <w:iCs w:val="0"/>
                <w:color w:val="auto"/>
                <w:szCs w:val="21"/>
                <w:highlight w:val="none"/>
                <w:lang w:val="en-US" w:eastAsia="zh-CN"/>
              </w:rPr>
              <w:t>4</w:t>
            </w:r>
            <w:r>
              <w:rPr>
                <w:rFonts w:hint="eastAsia" w:ascii="仿宋" w:hAnsi="仿宋" w:eastAsia="仿宋" w:cs="宋体"/>
                <w:i w:val="0"/>
                <w:iCs w:val="0"/>
                <w:color w:val="auto"/>
                <w:szCs w:val="21"/>
                <w:highlight w:val="none"/>
              </w:rPr>
              <w:t>年1</w:t>
            </w:r>
            <w:r>
              <w:rPr>
                <w:rFonts w:hint="default" w:ascii="仿宋" w:hAnsi="仿宋" w:eastAsia="仿宋" w:cs="宋体"/>
                <w:i w:val="0"/>
                <w:iCs w:val="0"/>
                <w:color w:val="auto"/>
                <w:szCs w:val="21"/>
                <w:highlight w:val="none"/>
                <w:lang w:val="en-US"/>
              </w:rPr>
              <w:t>0</w:t>
            </w:r>
            <w:r>
              <w:rPr>
                <w:rFonts w:hint="eastAsia" w:ascii="仿宋" w:hAnsi="仿宋" w:eastAsia="仿宋" w:cs="宋体"/>
                <w:i w:val="0"/>
                <w:iCs w:val="0"/>
                <w:color w:val="auto"/>
                <w:szCs w:val="21"/>
                <w:highlight w:val="none"/>
              </w:rPr>
              <w:t>月</w:t>
            </w:r>
            <w:r>
              <w:rPr>
                <w:rFonts w:hint="default" w:ascii="仿宋" w:hAnsi="仿宋" w:eastAsia="仿宋" w:cs="宋体"/>
                <w:i w:val="0"/>
                <w:iCs w:val="0"/>
                <w:color w:val="auto"/>
                <w:szCs w:val="21"/>
                <w:highlight w:val="none"/>
                <w:lang w:val="en-US" w:eastAsia="zh-CN"/>
              </w:rPr>
              <w:t>31</w:t>
            </w:r>
            <w:r>
              <w:rPr>
                <w:rFonts w:hint="eastAsia" w:ascii="仿宋" w:hAnsi="仿宋" w:eastAsia="仿宋" w:cs="宋体"/>
                <w:i w:val="0"/>
                <w:iCs w:val="0"/>
                <w:color w:val="auto"/>
                <w:szCs w:val="21"/>
                <w:highlight w:val="none"/>
              </w:rPr>
              <w:t>日面粉、黄油、牛奶、奶油四种主要食品原材料的采购发票复印件和采购清单复印件（每月提供1份购发票复印件和采购清单复印件，合计提供</w:t>
            </w:r>
            <w:r>
              <w:rPr>
                <w:rFonts w:hint="eastAsia" w:ascii="仿宋" w:hAnsi="仿宋" w:eastAsia="仿宋" w:cs="宋体"/>
                <w:i w:val="0"/>
                <w:iCs w:val="0"/>
                <w:color w:val="auto"/>
                <w:szCs w:val="21"/>
                <w:highlight w:val="none"/>
                <w:lang w:val="en-US" w:eastAsia="zh-CN"/>
              </w:rPr>
              <w:t>5</w:t>
            </w:r>
            <w:r>
              <w:rPr>
                <w:rFonts w:hint="eastAsia" w:ascii="仿宋" w:hAnsi="仿宋" w:eastAsia="仿宋" w:cs="宋体"/>
                <w:i w:val="0"/>
                <w:iCs w:val="0"/>
                <w:color w:val="auto"/>
                <w:szCs w:val="21"/>
                <w:highlight w:val="none"/>
              </w:rPr>
              <w:t>份；发票和清单</w:t>
            </w:r>
            <w:r>
              <w:rPr>
                <w:rFonts w:hint="eastAsia" w:ascii="仿宋" w:hAnsi="仿宋" w:eastAsia="仿宋" w:cs="宋体"/>
                <w:i w:val="0"/>
                <w:iCs w:val="0"/>
                <w:color w:val="auto"/>
                <w:szCs w:val="21"/>
                <w:highlight w:val="none"/>
                <w:lang w:val="en-US" w:eastAsia="zh-CN"/>
              </w:rPr>
              <w:t>不足、</w:t>
            </w:r>
            <w:r>
              <w:rPr>
                <w:rFonts w:hint="eastAsia" w:ascii="仿宋" w:hAnsi="仿宋" w:eastAsia="仿宋" w:cs="宋体"/>
                <w:i w:val="0"/>
                <w:iCs w:val="0"/>
                <w:color w:val="auto"/>
                <w:szCs w:val="21"/>
                <w:highlight w:val="none"/>
              </w:rPr>
              <w:t>不能体现主要食品原材料品牌、品种或发票和清单不能提供完全的，不得分），提供面粉、黄油、牛奶、奶油四种主要食品原材料的盖得排行榜官网截图，不提供不得分。</w:t>
            </w:r>
          </w:p>
        </w:tc>
        <w:tc>
          <w:tcPr>
            <w:tcW w:w="702" w:type="dxa"/>
            <w:vAlign w:val="center"/>
          </w:tcPr>
          <w:p w14:paraId="0F59B3D6">
            <w:pPr>
              <w:adjustRightInd w:val="0"/>
              <w:snapToGrid w:val="0"/>
              <w:spacing w:line="360" w:lineRule="exact"/>
              <w:jc w:val="center"/>
              <w:rPr>
                <w:rFonts w:ascii="仿宋" w:hAnsi="仿宋" w:eastAsia="仿宋" w:cs="宋体"/>
                <w:i w:val="0"/>
                <w:iCs w:val="0"/>
                <w:color w:val="auto"/>
                <w:szCs w:val="21"/>
                <w:highlight w:val="none"/>
              </w:rPr>
            </w:pPr>
            <w:r>
              <w:rPr>
                <w:rFonts w:hint="eastAsia" w:ascii="仿宋" w:hAnsi="仿宋" w:eastAsia="仿宋" w:cs="宋体"/>
                <w:i w:val="0"/>
                <w:iCs w:val="0"/>
                <w:color w:val="auto"/>
                <w:szCs w:val="21"/>
                <w:highlight w:val="none"/>
                <w:lang w:val="en-US" w:eastAsia="zh-CN"/>
              </w:rPr>
              <w:t>4</w:t>
            </w:r>
            <w:r>
              <w:rPr>
                <w:rFonts w:hint="eastAsia" w:ascii="仿宋" w:hAnsi="仿宋" w:eastAsia="仿宋" w:cs="宋体"/>
                <w:i w:val="0"/>
                <w:iCs w:val="0"/>
                <w:color w:val="auto"/>
                <w:szCs w:val="21"/>
                <w:highlight w:val="none"/>
              </w:rPr>
              <w:t>分</w:t>
            </w:r>
          </w:p>
        </w:tc>
      </w:tr>
      <w:tr w14:paraId="6DEA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0" w:type="dxa"/>
            <w:vAlign w:val="center"/>
          </w:tcPr>
          <w:p w14:paraId="20E88C86">
            <w:pPr>
              <w:pStyle w:val="18"/>
              <w:adjustRightInd w:val="0"/>
              <w:snapToGrid w:val="0"/>
              <w:spacing w:line="360" w:lineRule="exact"/>
              <w:ind w:firstLine="0" w:firstLineChars="0"/>
              <w:jc w:val="center"/>
              <w:rPr>
                <w:rFonts w:ascii="仿宋" w:hAnsi="仿宋" w:eastAsia="仿宋" w:cs="宋体"/>
                <w:b/>
                <w:bCs/>
                <w:i w:val="0"/>
                <w:iCs w:val="0"/>
                <w:color w:val="auto"/>
                <w:szCs w:val="21"/>
                <w:highlight w:val="none"/>
              </w:rPr>
            </w:pPr>
            <w:r>
              <w:rPr>
                <w:rFonts w:hint="eastAsia" w:ascii="仿宋" w:hAnsi="仿宋" w:eastAsia="仿宋" w:cs="宋体"/>
                <w:b/>
                <w:bCs/>
                <w:i w:val="0"/>
                <w:iCs w:val="0"/>
                <w:color w:val="auto"/>
                <w:szCs w:val="21"/>
                <w:highlight w:val="none"/>
              </w:rPr>
              <w:t>2</w:t>
            </w:r>
          </w:p>
        </w:tc>
        <w:tc>
          <w:tcPr>
            <w:tcW w:w="7796" w:type="dxa"/>
            <w:gridSpan w:val="2"/>
            <w:vAlign w:val="center"/>
          </w:tcPr>
          <w:p w14:paraId="5C606EF8">
            <w:pPr>
              <w:jc w:val="center"/>
              <w:rPr>
                <w:rFonts w:ascii="仿宋" w:hAnsi="仿宋" w:eastAsia="仿宋"/>
                <w:b/>
                <w:i w:val="0"/>
                <w:iCs w:val="0"/>
                <w:color w:val="auto"/>
                <w:szCs w:val="21"/>
                <w:highlight w:val="none"/>
              </w:rPr>
            </w:pPr>
            <w:r>
              <w:rPr>
                <w:rFonts w:hint="eastAsia" w:ascii="仿宋" w:hAnsi="仿宋" w:eastAsia="仿宋" w:cs="宋体"/>
                <w:b/>
                <w:i w:val="0"/>
                <w:iCs w:val="0"/>
                <w:color w:val="auto"/>
                <w:szCs w:val="21"/>
                <w:highlight w:val="none"/>
              </w:rPr>
              <w:t>商务、资信及其他分</w:t>
            </w:r>
          </w:p>
        </w:tc>
        <w:tc>
          <w:tcPr>
            <w:tcW w:w="702" w:type="dxa"/>
            <w:vAlign w:val="center"/>
          </w:tcPr>
          <w:p w14:paraId="7E859419">
            <w:pPr>
              <w:pStyle w:val="18"/>
              <w:adjustRightInd w:val="0"/>
              <w:snapToGrid w:val="0"/>
              <w:spacing w:line="360" w:lineRule="exact"/>
              <w:ind w:firstLine="0" w:firstLineChars="0"/>
              <w:jc w:val="both"/>
              <w:rPr>
                <w:rFonts w:ascii="仿宋" w:hAnsi="仿宋" w:eastAsia="仿宋" w:cs="宋体"/>
                <w:b/>
                <w:i w:val="0"/>
                <w:iCs w:val="0"/>
                <w:color w:val="auto"/>
                <w:szCs w:val="21"/>
                <w:highlight w:val="none"/>
              </w:rPr>
            </w:pPr>
            <w:r>
              <w:rPr>
                <w:rFonts w:hint="eastAsia" w:ascii="仿宋" w:hAnsi="仿宋" w:eastAsia="仿宋" w:cs="宋体"/>
                <w:b/>
                <w:i w:val="0"/>
                <w:iCs w:val="0"/>
                <w:color w:val="auto"/>
                <w:szCs w:val="21"/>
                <w:highlight w:val="none"/>
                <w:lang w:val="en-US" w:eastAsia="zh-CN"/>
              </w:rPr>
              <w:t>26</w:t>
            </w:r>
            <w:r>
              <w:rPr>
                <w:rFonts w:hint="eastAsia" w:ascii="仿宋" w:hAnsi="仿宋" w:eastAsia="仿宋" w:cs="宋体"/>
                <w:b/>
                <w:i w:val="0"/>
                <w:iCs w:val="0"/>
                <w:color w:val="auto"/>
                <w:szCs w:val="21"/>
                <w:highlight w:val="none"/>
              </w:rPr>
              <w:t>分</w:t>
            </w:r>
          </w:p>
        </w:tc>
      </w:tr>
      <w:tr w14:paraId="291A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60" w:type="dxa"/>
            <w:vAlign w:val="center"/>
          </w:tcPr>
          <w:p w14:paraId="162C932C">
            <w:pPr>
              <w:adjustRightInd w:val="0"/>
              <w:snapToGrid w:val="0"/>
              <w:spacing w:line="360" w:lineRule="exact"/>
              <w:jc w:val="center"/>
              <w:rPr>
                <w:rFonts w:hint="eastAsia" w:ascii="仿宋" w:hAnsi="仿宋" w:eastAsia="仿宋" w:cs="宋体"/>
                <w:i w:val="0"/>
                <w:iCs w:val="0"/>
                <w:color w:val="auto"/>
                <w:szCs w:val="21"/>
                <w:highlight w:val="none"/>
                <w:lang w:eastAsia="zh-CN"/>
              </w:rPr>
            </w:pPr>
            <w:r>
              <w:rPr>
                <w:rFonts w:hint="eastAsia" w:ascii="仿宋" w:hAnsi="仿宋" w:eastAsia="仿宋" w:cs="宋体"/>
                <w:i w:val="0"/>
                <w:iCs w:val="0"/>
                <w:color w:val="auto"/>
                <w:szCs w:val="21"/>
                <w:highlight w:val="none"/>
              </w:rPr>
              <w:t>2.</w:t>
            </w:r>
            <w:r>
              <w:rPr>
                <w:rFonts w:hint="eastAsia" w:ascii="仿宋" w:hAnsi="仿宋" w:eastAsia="仿宋" w:cs="宋体"/>
                <w:i w:val="0"/>
                <w:iCs w:val="0"/>
                <w:color w:val="auto"/>
                <w:szCs w:val="21"/>
                <w:highlight w:val="none"/>
                <w:lang w:val="en-US" w:eastAsia="zh-CN"/>
              </w:rPr>
              <w:t>1</w:t>
            </w:r>
          </w:p>
        </w:tc>
        <w:tc>
          <w:tcPr>
            <w:tcW w:w="1222" w:type="dxa"/>
            <w:vAlign w:val="center"/>
          </w:tcPr>
          <w:p w14:paraId="72C26AFC">
            <w:pPr>
              <w:adjustRightInd w:val="0"/>
              <w:snapToGrid w:val="0"/>
              <w:spacing w:line="360" w:lineRule="exact"/>
              <w:jc w:val="center"/>
              <w:rPr>
                <w:rFonts w:ascii="仿宋" w:hAnsi="仿宋" w:eastAsia="仿宋" w:cs="宋体"/>
                <w:bCs/>
                <w:i w:val="0"/>
                <w:iCs w:val="0"/>
                <w:color w:val="auto"/>
                <w:kern w:val="0"/>
                <w:szCs w:val="21"/>
                <w:highlight w:val="none"/>
              </w:rPr>
            </w:pPr>
            <w:r>
              <w:rPr>
                <w:rFonts w:hint="eastAsia" w:ascii="仿宋" w:hAnsi="仿宋" w:eastAsia="仿宋" w:cs="宋体"/>
                <w:bCs/>
                <w:i w:val="0"/>
                <w:iCs w:val="0"/>
                <w:color w:val="auto"/>
                <w:kern w:val="0"/>
                <w:szCs w:val="21"/>
                <w:highlight w:val="none"/>
              </w:rPr>
              <w:t>管理能力</w:t>
            </w:r>
          </w:p>
        </w:tc>
        <w:tc>
          <w:tcPr>
            <w:tcW w:w="6574" w:type="dxa"/>
            <w:vAlign w:val="center"/>
          </w:tcPr>
          <w:p w14:paraId="5F699FC2">
            <w:pPr>
              <w:tabs>
                <w:tab w:val="left" w:pos="1080"/>
              </w:tabs>
              <w:jc w:val="left"/>
              <w:rPr>
                <w:rFonts w:ascii="仿宋" w:hAnsi="仿宋" w:eastAsia="仿宋" w:cs="宋体"/>
                <w:i w:val="0"/>
                <w:iCs w:val="0"/>
                <w:color w:val="auto"/>
                <w:kern w:val="0"/>
                <w:szCs w:val="21"/>
                <w:highlight w:val="none"/>
              </w:rPr>
            </w:pPr>
            <w:r>
              <w:rPr>
                <w:rFonts w:hint="eastAsia" w:ascii="仿宋" w:hAnsi="仿宋" w:eastAsia="仿宋" w:cs="宋体"/>
                <w:i w:val="0"/>
                <w:iCs w:val="0"/>
                <w:color w:val="auto"/>
                <w:kern w:val="0"/>
                <w:szCs w:val="21"/>
                <w:highlight w:val="none"/>
              </w:rPr>
              <w:t>投标人具有有效质量管理体系认证证书的得</w:t>
            </w:r>
            <w:r>
              <w:rPr>
                <w:rFonts w:hint="eastAsia" w:ascii="仿宋" w:hAnsi="仿宋" w:eastAsia="仿宋" w:cs="宋体"/>
                <w:i w:val="0"/>
                <w:iCs w:val="0"/>
                <w:color w:val="auto"/>
                <w:kern w:val="0"/>
                <w:szCs w:val="21"/>
                <w:highlight w:val="none"/>
                <w:lang w:val="en-US" w:eastAsia="zh-CN"/>
              </w:rPr>
              <w:t>1</w:t>
            </w:r>
            <w:r>
              <w:rPr>
                <w:rFonts w:hint="eastAsia" w:ascii="仿宋" w:hAnsi="仿宋" w:eastAsia="仿宋" w:cs="宋体"/>
                <w:i w:val="0"/>
                <w:iCs w:val="0"/>
                <w:color w:val="auto"/>
                <w:kern w:val="0"/>
                <w:szCs w:val="21"/>
                <w:highlight w:val="none"/>
              </w:rPr>
              <w:t>分；具有有效环境管理体系认证证书的得</w:t>
            </w:r>
            <w:r>
              <w:rPr>
                <w:rFonts w:hint="eastAsia" w:ascii="仿宋" w:hAnsi="仿宋" w:eastAsia="仿宋" w:cs="宋体"/>
                <w:i w:val="0"/>
                <w:iCs w:val="0"/>
                <w:color w:val="auto"/>
                <w:kern w:val="0"/>
                <w:szCs w:val="21"/>
                <w:highlight w:val="none"/>
                <w:lang w:val="en-US" w:eastAsia="zh-CN"/>
              </w:rPr>
              <w:t>1</w:t>
            </w:r>
            <w:r>
              <w:rPr>
                <w:rFonts w:hint="eastAsia" w:ascii="仿宋" w:hAnsi="仿宋" w:eastAsia="仿宋" w:cs="宋体"/>
                <w:i w:val="0"/>
                <w:iCs w:val="0"/>
                <w:color w:val="auto"/>
                <w:kern w:val="0"/>
                <w:szCs w:val="21"/>
                <w:highlight w:val="none"/>
              </w:rPr>
              <w:t>分；具有有效职业健康体系认证证书的得</w:t>
            </w:r>
            <w:r>
              <w:rPr>
                <w:rFonts w:hint="eastAsia" w:ascii="仿宋" w:hAnsi="仿宋" w:eastAsia="仿宋" w:cs="宋体"/>
                <w:i w:val="0"/>
                <w:iCs w:val="0"/>
                <w:color w:val="auto"/>
                <w:kern w:val="0"/>
                <w:szCs w:val="21"/>
                <w:highlight w:val="none"/>
                <w:lang w:val="en-US" w:eastAsia="zh-CN"/>
              </w:rPr>
              <w:t>1</w:t>
            </w:r>
            <w:r>
              <w:rPr>
                <w:rFonts w:hint="eastAsia" w:ascii="仿宋" w:hAnsi="仿宋" w:eastAsia="仿宋" w:cs="宋体"/>
                <w:i w:val="0"/>
                <w:iCs w:val="0"/>
                <w:color w:val="auto"/>
                <w:kern w:val="0"/>
                <w:szCs w:val="21"/>
                <w:highlight w:val="none"/>
              </w:rPr>
              <w:t>分。最高得</w:t>
            </w:r>
            <w:r>
              <w:rPr>
                <w:rFonts w:hint="eastAsia" w:ascii="仿宋" w:hAnsi="仿宋" w:eastAsia="仿宋" w:cs="宋体"/>
                <w:i w:val="0"/>
                <w:iCs w:val="0"/>
                <w:color w:val="auto"/>
                <w:kern w:val="0"/>
                <w:szCs w:val="21"/>
                <w:highlight w:val="none"/>
                <w:lang w:val="en-US" w:eastAsia="zh-CN"/>
              </w:rPr>
              <w:t>3</w:t>
            </w:r>
            <w:r>
              <w:rPr>
                <w:rFonts w:hint="eastAsia" w:ascii="仿宋" w:hAnsi="仿宋" w:eastAsia="仿宋" w:cs="宋体"/>
                <w:i w:val="0"/>
                <w:iCs w:val="0"/>
                <w:color w:val="auto"/>
                <w:kern w:val="0"/>
                <w:szCs w:val="21"/>
                <w:highlight w:val="none"/>
              </w:rPr>
              <w:t>分。需提供证书复印件，</w:t>
            </w:r>
            <w:r>
              <w:rPr>
                <w:rFonts w:hint="eastAsia" w:ascii="仿宋" w:hAnsi="仿宋" w:eastAsia="仿宋" w:cs="宋体"/>
                <w:i w:val="0"/>
                <w:iCs w:val="0"/>
                <w:color w:val="auto"/>
                <w:szCs w:val="21"/>
                <w:highlight w:val="none"/>
              </w:rPr>
              <w:t>不提供不得分</w:t>
            </w:r>
            <w:r>
              <w:rPr>
                <w:rFonts w:hint="eastAsia" w:ascii="仿宋" w:hAnsi="仿宋" w:eastAsia="仿宋" w:cs="宋体"/>
                <w:i w:val="0"/>
                <w:iCs w:val="0"/>
                <w:color w:val="auto"/>
                <w:kern w:val="0"/>
                <w:szCs w:val="21"/>
                <w:highlight w:val="none"/>
              </w:rPr>
              <w:t>。</w:t>
            </w:r>
          </w:p>
        </w:tc>
        <w:tc>
          <w:tcPr>
            <w:tcW w:w="702" w:type="dxa"/>
            <w:vAlign w:val="center"/>
          </w:tcPr>
          <w:p w14:paraId="47FFBE54">
            <w:pPr>
              <w:adjustRightInd w:val="0"/>
              <w:snapToGrid w:val="0"/>
              <w:spacing w:line="360" w:lineRule="exact"/>
              <w:jc w:val="left"/>
              <w:rPr>
                <w:rFonts w:ascii="仿宋" w:hAnsi="仿宋" w:eastAsia="仿宋" w:cs="宋体"/>
                <w:bCs/>
                <w:i w:val="0"/>
                <w:iCs w:val="0"/>
                <w:color w:val="auto"/>
                <w:kern w:val="0"/>
                <w:szCs w:val="21"/>
                <w:highlight w:val="none"/>
              </w:rPr>
            </w:pPr>
            <w:r>
              <w:rPr>
                <w:rFonts w:hint="eastAsia" w:ascii="仿宋" w:hAnsi="仿宋" w:eastAsia="仿宋" w:cs="宋体"/>
                <w:bCs/>
                <w:i w:val="0"/>
                <w:iCs w:val="0"/>
                <w:color w:val="auto"/>
                <w:kern w:val="0"/>
                <w:szCs w:val="21"/>
                <w:highlight w:val="none"/>
                <w:lang w:val="en-US" w:eastAsia="zh-CN"/>
              </w:rPr>
              <w:t>3</w:t>
            </w:r>
            <w:r>
              <w:rPr>
                <w:rFonts w:hint="eastAsia" w:ascii="仿宋" w:hAnsi="仿宋" w:eastAsia="仿宋" w:cs="宋体"/>
                <w:bCs/>
                <w:i w:val="0"/>
                <w:iCs w:val="0"/>
                <w:color w:val="auto"/>
                <w:kern w:val="0"/>
                <w:szCs w:val="21"/>
                <w:highlight w:val="none"/>
              </w:rPr>
              <w:t>分</w:t>
            </w:r>
          </w:p>
        </w:tc>
      </w:tr>
      <w:tr w14:paraId="4D0B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0" w:type="dxa"/>
            <w:vAlign w:val="center"/>
          </w:tcPr>
          <w:p w14:paraId="639E63EB">
            <w:pPr>
              <w:pStyle w:val="18"/>
              <w:adjustRightInd w:val="0"/>
              <w:snapToGrid w:val="0"/>
              <w:spacing w:line="360" w:lineRule="exact"/>
              <w:ind w:firstLine="0" w:firstLineChars="0"/>
              <w:jc w:val="center"/>
              <w:rPr>
                <w:rFonts w:ascii="仿宋" w:hAnsi="仿宋" w:eastAsia="仿宋" w:cs="宋体"/>
                <w:bCs/>
                <w:i w:val="0"/>
                <w:iCs w:val="0"/>
                <w:color w:val="auto"/>
                <w:szCs w:val="21"/>
                <w:highlight w:val="none"/>
              </w:rPr>
            </w:pPr>
            <w:r>
              <w:rPr>
                <w:rFonts w:hint="eastAsia" w:ascii="仿宋" w:hAnsi="仿宋" w:eastAsia="仿宋" w:cs="宋体"/>
                <w:bCs/>
                <w:i w:val="0"/>
                <w:iCs w:val="0"/>
                <w:color w:val="auto"/>
                <w:szCs w:val="21"/>
                <w:highlight w:val="none"/>
              </w:rPr>
              <w:t>2.3</w:t>
            </w:r>
          </w:p>
        </w:tc>
        <w:tc>
          <w:tcPr>
            <w:tcW w:w="1222" w:type="dxa"/>
            <w:vAlign w:val="center"/>
          </w:tcPr>
          <w:p w14:paraId="29F1612E">
            <w:pPr>
              <w:pStyle w:val="18"/>
              <w:adjustRightInd w:val="0"/>
              <w:snapToGrid w:val="0"/>
              <w:spacing w:line="360" w:lineRule="exact"/>
              <w:ind w:firstLine="0" w:firstLineChars="0"/>
              <w:jc w:val="center"/>
              <w:rPr>
                <w:rFonts w:ascii="仿宋" w:hAnsi="仿宋" w:eastAsia="仿宋" w:cs="宋体"/>
                <w:i w:val="0"/>
                <w:iCs w:val="0"/>
                <w:color w:val="auto"/>
                <w:szCs w:val="21"/>
                <w:highlight w:val="none"/>
              </w:rPr>
            </w:pPr>
            <w:r>
              <w:rPr>
                <w:rFonts w:hint="eastAsia" w:ascii="仿宋" w:hAnsi="仿宋" w:eastAsia="仿宋" w:cs="宋体"/>
                <w:i w:val="0"/>
                <w:iCs w:val="0"/>
                <w:color w:val="auto"/>
                <w:szCs w:val="21"/>
                <w:highlight w:val="none"/>
              </w:rPr>
              <w:t>服务方案</w:t>
            </w:r>
          </w:p>
        </w:tc>
        <w:tc>
          <w:tcPr>
            <w:tcW w:w="6574" w:type="dxa"/>
            <w:vAlign w:val="center"/>
          </w:tcPr>
          <w:p w14:paraId="03205B1C">
            <w:pPr>
              <w:jc w:val="left"/>
              <w:rPr>
                <w:rFonts w:ascii="仿宋" w:hAnsi="仿宋" w:eastAsia="仿宋"/>
                <w:i w:val="0"/>
                <w:iCs w:val="0"/>
                <w:color w:val="auto"/>
                <w:szCs w:val="21"/>
                <w:highlight w:val="none"/>
              </w:rPr>
            </w:pPr>
            <w:r>
              <w:rPr>
                <w:rFonts w:hint="eastAsia" w:ascii="仿宋" w:hAnsi="仿宋" w:eastAsia="仿宋"/>
                <w:i w:val="0"/>
                <w:iCs w:val="0"/>
                <w:color w:val="auto"/>
                <w:szCs w:val="21"/>
                <w:highlight w:val="none"/>
              </w:rPr>
              <w:t>根据投标人提供的服务方案（必须包含投标人食品安全承诺：如因投标人提供的食品质量问题引起的食品安全事故对消费者造成损害，由投标人负完全法律责任和经济赔偿责任；保障消费者权益承诺；营业网点营业时间等），由评委横向比较后酌情评分：</w:t>
            </w:r>
            <w:r>
              <w:rPr>
                <w:rFonts w:hint="eastAsia" w:ascii="仿宋" w:hAnsi="仿宋" w:eastAsia="仿宋" w:cs="宋体"/>
                <w:i w:val="0"/>
                <w:iCs w:val="0"/>
                <w:color w:val="auto"/>
                <w:szCs w:val="21"/>
                <w:highlight w:val="none"/>
              </w:rPr>
              <w:t>优秀</w:t>
            </w:r>
            <w:r>
              <w:rPr>
                <w:rFonts w:hint="eastAsia" w:ascii="仿宋" w:hAnsi="仿宋" w:eastAsia="仿宋" w:cs="宋体"/>
                <w:i w:val="0"/>
                <w:iCs w:val="0"/>
                <w:color w:val="auto"/>
                <w:szCs w:val="21"/>
                <w:highlight w:val="none"/>
                <w:lang w:val="en-US" w:eastAsia="zh-CN"/>
              </w:rPr>
              <w:t>5</w:t>
            </w:r>
            <w:r>
              <w:rPr>
                <w:rFonts w:hint="eastAsia" w:ascii="仿宋" w:hAnsi="仿宋" w:eastAsia="仿宋" w:cs="宋体"/>
                <w:i w:val="0"/>
                <w:iCs w:val="0"/>
                <w:color w:val="auto"/>
                <w:szCs w:val="21"/>
                <w:highlight w:val="none"/>
              </w:rPr>
              <w:t>分；良好</w:t>
            </w:r>
            <w:r>
              <w:rPr>
                <w:rFonts w:hint="eastAsia" w:ascii="仿宋" w:hAnsi="仿宋" w:eastAsia="仿宋" w:cs="宋体"/>
                <w:i w:val="0"/>
                <w:iCs w:val="0"/>
                <w:color w:val="auto"/>
                <w:szCs w:val="21"/>
                <w:highlight w:val="none"/>
                <w:lang w:val="en-US" w:eastAsia="zh-CN"/>
              </w:rPr>
              <w:t>3</w:t>
            </w:r>
            <w:r>
              <w:rPr>
                <w:rFonts w:hint="eastAsia" w:ascii="仿宋" w:hAnsi="仿宋" w:eastAsia="仿宋" w:cs="宋体"/>
                <w:i w:val="0"/>
                <w:iCs w:val="0"/>
                <w:color w:val="auto"/>
                <w:szCs w:val="21"/>
                <w:highlight w:val="none"/>
              </w:rPr>
              <w:t>分；一般</w:t>
            </w:r>
            <w:r>
              <w:rPr>
                <w:rFonts w:hint="eastAsia" w:ascii="仿宋" w:hAnsi="仿宋" w:eastAsia="仿宋" w:cs="宋体"/>
                <w:i w:val="0"/>
                <w:iCs w:val="0"/>
                <w:color w:val="auto"/>
                <w:szCs w:val="21"/>
                <w:highlight w:val="none"/>
                <w:lang w:val="en-US" w:eastAsia="zh-CN"/>
              </w:rPr>
              <w:t>1</w:t>
            </w:r>
            <w:r>
              <w:rPr>
                <w:rFonts w:hint="eastAsia" w:ascii="仿宋" w:hAnsi="仿宋" w:eastAsia="仿宋" w:cs="宋体"/>
                <w:i w:val="0"/>
                <w:iCs w:val="0"/>
                <w:color w:val="auto"/>
                <w:szCs w:val="21"/>
                <w:highlight w:val="none"/>
              </w:rPr>
              <w:t>分。</w:t>
            </w:r>
            <w:r>
              <w:rPr>
                <w:rFonts w:hint="eastAsia" w:ascii="仿宋" w:hAnsi="仿宋" w:eastAsia="仿宋"/>
                <w:i w:val="0"/>
                <w:iCs w:val="0"/>
                <w:color w:val="auto"/>
                <w:szCs w:val="21"/>
                <w:highlight w:val="none"/>
              </w:rPr>
              <w:t>服务方案</w:t>
            </w:r>
            <w:r>
              <w:rPr>
                <w:rFonts w:hint="eastAsia" w:ascii="仿宋" w:hAnsi="仿宋" w:eastAsia="仿宋" w:cs="宋体"/>
                <w:i w:val="0"/>
                <w:iCs w:val="0"/>
                <w:color w:val="auto"/>
                <w:szCs w:val="21"/>
                <w:highlight w:val="none"/>
              </w:rPr>
              <w:t>不提供不得分。</w:t>
            </w:r>
          </w:p>
        </w:tc>
        <w:tc>
          <w:tcPr>
            <w:tcW w:w="702" w:type="dxa"/>
            <w:vAlign w:val="center"/>
          </w:tcPr>
          <w:p w14:paraId="1F30A171">
            <w:pPr>
              <w:pStyle w:val="18"/>
              <w:adjustRightInd w:val="0"/>
              <w:snapToGrid w:val="0"/>
              <w:spacing w:line="360" w:lineRule="exact"/>
              <w:ind w:firstLine="0" w:firstLineChars="0"/>
              <w:rPr>
                <w:rFonts w:hint="eastAsia" w:ascii="仿宋" w:hAnsi="仿宋" w:eastAsia="仿宋" w:cs="宋体"/>
                <w:i w:val="0"/>
                <w:iCs w:val="0"/>
                <w:color w:val="auto"/>
                <w:szCs w:val="21"/>
                <w:highlight w:val="none"/>
                <w:lang w:val="en-US" w:eastAsia="zh-CN"/>
              </w:rPr>
            </w:pPr>
            <w:r>
              <w:rPr>
                <w:rFonts w:hint="eastAsia" w:ascii="仿宋" w:hAnsi="仿宋" w:eastAsia="仿宋" w:cs="宋体"/>
                <w:i w:val="0"/>
                <w:iCs w:val="0"/>
                <w:color w:val="auto"/>
                <w:szCs w:val="21"/>
                <w:highlight w:val="none"/>
                <w:lang w:val="en-US" w:eastAsia="zh-CN"/>
              </w:rPr>
              <w:t>5</w:t>
            </w:r>
            <w:r>
              <w:rPr>
                <w:rFonts w:hint="eastAsia" w:ascii="仿宋" w:hAnsi="仿宋" w:eastAsia="仿宋" w:cs="宋体"/>
                <w:i w:val="0"/>
                <w:iCs w:val="0"/>
                <w:color w:val="auto"/>
                <w:szCs w:val="21"/>
                <w:highlight w:val="none"/>
              </w:rPr>
              <w:t>分</w:t>
            </w:r>
          </w:p>
        </w:tc>
      </w:tr>
      <w:tr w14:paraId="312B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60" w:type="dxa"/>
            <w:vAlign w:val="center"/>
          </w:tcPr>
          <w:p w14:paraId="34BCFA42">
            <w:pPr>
              <w:pStyle w:val="18"/>
              <w:adjustRightInd w:val="0"/>
              <w:snapToGrid w:val="0"/>
              <w:spacing w:line="360" w:lineRule="exact"/>
              <w:ind w:firstLine="0" w:firstLineChars="0"/>
              <w:jc w:val="center"/>
              <w:rPr>
                <w:rFonts w:ascii="仿宋" w:hAnsi="仿宋" w:eastAsia="仿宋" w:cs="宋体"/>
                <w:bCs/>
                <w:i w:val="0"/>
                <w:iCs w:val="0"/>
                <w:color w:val="auto"/>
                <w:szCs w:val="21"/>
                <w:highlight w:val="none"/>
              </w:rPr>
            </w:pPr>
            <w:r>
              <w:rPr>
                <w:rFonts w:hint="eastAsia" w:ascii="仿宋" w:hAnsi="仿宋" w:eastAsia="仿宋" w:cs="宋体"/>
                <w:bCs/>
                <w:i w:val="0"/>
                <w:iCs w:val="0"/>
                <w:color w:val="auto"/>
                <w:szCs w:val="21"/>
                <w:highlight w:val="none"/>
              </w:rPr>
              <w:t>2.4</w:t>
            </w:r>
          </w:p>
        </w:tc>
        <w:tc>
          <w:tcPr>
            <w:tcW w:w="1222" w:type="dxa"/>
            <w:vAlign w:val="center"/>
          </w:tcPr>
          <w:p w14:paraId="38893735">
            <w:pPr>
              <w:pStyle w:val="18"/>
              <w:adjustRightInd w:val="0"/>
              <w:snapToGrid w:val="0"/>
              <w:spacing w:line="360" w:lineRule="exact"/>
              <w:ind w:firstLine="0" w:firstLineChars="0"/>
              <w:jc w:val="center"/>
              <w:rPr>
                <w:rFonts w:ascii="仿宋" w:hAnsi="仿宋" w:eastAsia="仿宋" w:cs="宋体"/>
                <w:i w:val="0"/>
                <w:iCs w:val="0"/>
                <w:color w:val="auto"/>
                <w:szCs w:val="21"/>
                <w:highlight w:val="none"/>
              </w:rPr>
            </w:pPr>
            <w:r>
              <w:rPr>
                <w:rFonts w:hint="eastAsia" w:ascii="仿宋" w:hAnsi="仿宋" w:eastAsia="仿宋" w:cs="宋体"/>
                <w:i w:val="0"/>
                <w:iCs w:val="0"/>
                <w:color w:val="auto"/>
                <w:szCs w:val="21"/>
                <w:highlight w:val="none"/>
              </w:rPr>
              <w:t>营业</w:t>
            </w:r>
            <w:r>
              <w:rPr>
                <w:rFonts w:ascii="仿宋" w:hAnsi="仿宋" w:eastAsia="仿宋" w:cs="宋体"/>
                <w:i w:val="0"/>
                <w:iCs w:val="0"/>
                <w:color w:val="auto"/>
                <w:szCs w:val="21"/>
                <w:highlight w:val="none"/>
              </w:rPr>
              <w:t>网点</w:t>
            </w:r>
          </w:p>
        </w:tc>
        <w:tc>
          <w:tcPr>
            <w:tcW w:w="6574" w:type="dxa"/>
            <w:vAlign w:val="center"/>
          </w:tcPr>
          <w:p w14:paraId="1E1654F3">
            <w:pPr>
              <w:jc w:val="left"/>
              <w:rPr>
                <w:rFonts w:ascii="仿宋" w:hAnsi="仿宋" w:eastAsia="仿宋"/>
                <w:i w:val="0"/>
                <w:iCs w:val="0"/>
                <w:color w:val="auto"/>
                <w:szCs w:val="21"/>
                <w:highlight w:val="none"/>
              </w:rPr>
            </w:pPr>
            <w:r>
              <w:rPr>
                <w:rFonts w:hint="eastAsia" w:ascii="仿宋" w:hAnsi="仿宋" w:eastAsia="仿宋"/>
                <w:i w:val="0"/>
                <w:iCs w:val="0"/>
                <w:color w:val="auto"/>
                <w:highlight w:val="none"/>
              </w:rPr>
              <w:t>根据投标人在湖州市中心城区</w:t>
            </w:r>
            <w:r>
              <w:rPr>
                <w:rFonts w:hint="eastAsia" w:ascii="仿宋" w:hAnsi="仿宋" w:eastAsia="仿宋"/>
                <w:i w:val="0"/>
                <w:iCs w:val="0"/>
                <w:color w:val="auto"/>
                <w:highlight w:val="none"/>
                <w:lang w:eastAsia="zh-CN"/>
              </w:rPr>
              <w:t>（</w:t>
            </w:r>
            <w:r>
              <w:rPr>
                <w:rFonts w:hint="eastAsia" w:ascii="仿宋" w:hAnsi="仿宋" w:eastAsia="仿宋"/>
                <w:i w:val="0"/>
                <w:iCs w:val="0"/>
                <w:color w:val="auto"/>
                <w:highlight w:val="none"/>
                <w:lang w:val="en-US" w:eastAsia="zh-CN"/>
              </w:rPr>
              <w:t>含吴兴区、南太湖新区</w:t>
            </w:r>
            <w:r>
              <w:rPr>
                <w:rFonts w:hint="eastAsia" w:ascii="仿宋" w:hAnsi="仿宋" w:eastAsia="仿宋"/>
                <w:i w:val="0"/>
                <w:iCs w:val="0"/>
                <w:color w:val="auto"/>
                <w:highlight w:val="none"/>
                <w:lang w:eastAsia="zh-CN"/>
              </w:rPr>
              <w:t>）</w:t>
            </w:r>
            <w:r>
              <w:rPr>
                <w:rFonts w:hint="eastAsia" w:ascii="仿宋" w:hAnsi="仿宋" w:eastAsia="仿宋"/>
                <w:i w:val="0"/>
                <w:iCs w:val="0"/>
                <w:color w:val="auto"/>
                <w:highlight w:val="none"/>
              </w:rPr>
              <w:t>开设的自营营业网点数量及分布评分：</w:t>
            </w:r>
            <w:r>
              <w:rPr>
                <w:rFonts w:hint="eastAsia" w:ascii="仿宋" w:hAnsi="仿宋" w:eastAsia="仿宋"/>
                <w:i w:val="0"/>
                <w:iCs w:val="0"/>
                <w:color w:val="auto"/>
                <w:highlight w:val="none"/>
                <w:lang w:eastAsia="zh-CN"/>
              </w:rPr>
              <w:t>每个营业网点</w:t>
            </w:r>
            <w:r>
              <w:rPr>
                <w:rFonts w:hint="eastAsia" w:ascii="仿宋" w:hAnsi="仿宋" w:eastAsia="仿宋"/>
                <w:i w:val="0"/>
                <w:iCs w:val="0"/>
                <w:color w:val="auto"/>
                <w:highlight w:val="none"/>
                <w:lang w:val="en-US" w:eastAsia="zh-CN"/>
              </w:rPr>
              <w:t>0.5分，</w:t>
            </w:r>
            <w:r>
              <w:rPr>
                <w:rFonts w:hint="eastAsia" w:ascii="仿宋" w:hAnsi="仿宋" w:eastAsia="仿宋" w:cs="宋体"/>
                <w:i w:val="0"/>
                <w:iCs w:val="0"/>
                <w:color w:val="auto"/>
                <w:szCs w:val="21"/>
                <w:highlight w:val="none"/>
                <w:lang w:eastAsia="zh-CN"/>
              </w:rPr>
              <w:t>低于</w:t>
            </w:r>
            <w:r>
              <w:rPr>
                <w:rFonts w:hint="eastAsia" w:ascii="仿宋" w:hAnsi="仿宋" w:eastAsia="仿宋" w:cs="宋体"/>
                <w:i w:val="0"/>
                <w:iCs w:val="0"/>
                <w:color w:val="auto"/>
                <w:szCs w:val="21"/>
                <w:highlight w:val="none"/>
                <w:lang w:val="en-US" w:eastAsia="zh-CN"/>
              </w:rPr>
              <w:t>5个不得分，最高10分。</w:t>
            </w:r>
            <w:r>
              <w:rPr>
                <w:rFonts w:hint="eastAsia" w:ascii="仿宋" w:hAnsi="仿宋" w:eastAsia="仿宋" w:cs="宋体"/>
                <w:i w:val="0"/>
                <w:iCs w:val="0"/>
                <w:color w:val="auto"/>
                <w:szCs w:val="21"/>
                <w:highlight w:val="none"/>
              </w:rPr>
              <w:t>需提供</w:t>
            </w:r>
            <w:r>
              <w:rPr>
                <w:rFonts w:hint="eastAsia" w:ascii="仿宋" w:hAnsi="仿宋" w:eastAsia="仿宋"/>
                <w:i w:val="0"/>
                <w:iCs w:val="0"/>
                <w:color w:val="auto"/>
                <w:szCs w:val="21"/>
                <w:highlight w:val="none"/>
              </w:rPr>
              <w:t>湖州市中心城区</w:t>
            </w:r>
            <w:r>
              <w:rPr>
                <w:rFonts w:hint="eastAsia" w:ascii="仿宋" w:hAnsi="仿宋" w:eastAsia="仿宋"/>
                <w:i w:val="0"/>
                <w:iCs w:val="0"/>
                <w:color w:val="auto"/>
                <w:highlight w:val="none"/>
                <w:lang w:eastAsia="zh-CN"/>
              </w:rPr>
              <w:t>（</w:t>
            </w:r>
            <w:r>
              <w:rPr>
                <w:rFonts w:hint="eastAsia" w:ascii="仿宋" w:hAnsi="仿宋" w:eastAsia="仿宋"/>
                <w:i w:val="0"/>
                <w:iCs w:val="0"/>
                <w:color w:val="auto"/>
                <w:highlight w:val="none"/>
                <w:lang w:val="en-US" w:eastAsia="zh-CN"/>
              </w:rPr>
              <w:t>含吴兴区、南太湖新区</w:t>
            </w:r>
            <w:r>
              <w:rPr>
                <w:rFonts w:hint="eastAsia" w:ascii="仿宋" w:hAnsi="仿宋" w:eastAsia="仿宋"/>
                <w:i w:val="0"/>
                <w:iCs w:val="0"/>
                <w:color w:val="auto"/>
                <w:highlight w:val="none"/>
                <w:lang w:eastAsia="zh-CN"/>
              </w:rPr>
              <w:t>）</w:t>
            </w:r>
            <w:r>
              <w:rPr>
                <w:rFonts w:hint="eastAsia" w:ascii="仿宋" w:hAnsi="仿宋" w:eastAsia="仿宋"/>
                <w:i w:val="0"/>
                <w:iCs w:val="0"/>
                <w:color w:val="auto"/>
                <w:szCs w:val="21"/>
                <w:highlight w:val="none"/>
              </w:rPr>
              <w:t>营业网点证明材料（营业网点清单：名称、地址、店长姓名和联系电话；网点门面和内部营业场所照片打印稿各1张，A4格式），</w:t>
            </w:r>
            <w:r>
              <w:rPr>
                <w:rFonts w:hint="eastAsia" w:ascii="仿宋" w:hAnsi="仿宋" w:eastAsia="仿宋" w:cs="宋体"/>
                <w:i w:val="0"/>
                <w:iCs w:val="0"/>
                <w:color w:val="auto"/>
                <w:szCs w:val="21"/>
                <w:highlight w:val="none"/>
              </w:rPr>
              <w:t>不提供不得分。</w:t>
            </w:r>
          </w:p>
        </w:tc>
        <w:tc>
          <w:tcPr>
            <w:tcW w:w="702" w:type="dxa"/>
            <w:vAlign w:val="center"/>
          </w:tcPr>
          <w:p w14:paraId="77EB1CCC">
            <w:pPr>
              <w:pStyle w:val="18"/>
              <w:adjustRightInd w:val="0"/>
              <w:snapToGrid w:val="0"/>
              <w:spacing w:line="360" w:lineRule="exact"/>
              <w:ind w:firstLine="0" w:firstLineChars="0"/>
              <w:rPr>
                <w:rFonts w:ascii="仿宋" w:hAnsi="仿宋" w:eastAsia="仿宋" w:cs="宋体"/>
                <w:i w:val="0"/>
                <w:iCs w:val="0"/>
                <w:color w:val="auto"/>
                <w:szCs w:val="21"/>
                <w:highlight w:val="none"/>
              </w:rPr>
            </w:pPr>
            <w:r>
              <w:rPr>
                <w:rFonts w:hint="eastAsia" w:ascii="仿宋" w:hAnsi="仿宋" w:eastAsia="仿宋" w:cs="宋体"/>
                <w:i w:val="0"/>
                <w:iCs w:val="0"/>
                <w:color w:val="auto"/>
                <w:szCs w:val="21"/>
                <w:highlight w:val="none"/>
                <w:lang w:val="en-US" w:eastAsia="zh-CN"/>
              </w:rPr>
              <w:t>10</w:t>
            </w:r>
            <w:r>
              <w:rPr>
                <w:rFonts w:hint="eastAsia" w:ascii="仿宋" w:hAnsi="仿宋" w:eastAsia="仿宋" w:cs="宋体"/>
                <w:i w:val="0"/>
                <w:iCs w:val="0"/>
                <w:color w:val="auto"/>
                <w:szCs w:val="21"/>
                <w:highlight w:val="none"/>
              </w:rPr>
              <w:t>分</w:t>
            </w:r>
          </w:p>
        </w:tc>
      </w:tr>
      <w:tr w14:paraId="1EEE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60" w:type="dxa"/>
            <w:vAlign w:val="center"/>
          </w:tcPr>
          <w:p w14:paraId="0545CCFB">
            <w:pPr>
              <w:pStyle w:val="18"/>
              <w:adjustRightInd w:val="0"/>
              <w:snapToGrid w:val="0"/>
              <w:spacing w:line="360" w:lineRule="exact"/>
              <w:ind w:firstLine="0" w:firstLineChars="0"/>
              <w:jc w:val="center"/>
              <w:rPr>
                <w:rFonts w:hint="default" w:ascii="仿宋" w:hAnsi="仿宋" w:eastAsia="仿宋" w:cs="宋体"/>
                <w:bCs/>
                <w:i w:val="0"/>
                <w:iCs w:val="0"/>
                <w:color w:val="auto"/>
                <w:szCs w:val="21"/>
                <w:highlight w:val="none"/>
                <w:lang w:val="en-US" w:eastAsia="zh-CN"/>
              </w:rPr>
            </w:pPr>
            <w:r>
              <w:rPr>
                <w:rFonts w:hint="eastAsia" w:ascii="仿宋" w:hAnsi="仿宋" w:eastAsia="仿宋" w:cs="宋体"/>
                <w:bCs/>
                <w:i w:val="0"/>
                <w:iCs w:val="0"/>
                <w:color w:val="auto"/>
                <w:szCs w:val="21"/>
                <w:highlight w:val="none"/>
                <w:lang w:val="en-US" w:eastAsia="zh-CN"/>
              </w:rPr>
              <w:t>2.5</w:t>
            </w:r>
          </w:p>
        </w:tc>
        <w:tc>
          <w:tcPr>
            <w:tcW w:w="1222" w:type="dxa"/>
            <w:vAlign w:val="center"/>
          </w:tcPr>
          <w:p w14:paraId="1404B375">
            <w:pPr>
              <w:adjustRightInd w:val="0"/>
              <w:snapToGrid w:val="0"/>
              <w:spacing w:line="360" w:lineRule="exact"/>
              <w:jc w:val="center"/>
              <w:rPr>
                <w:rFonts w:hint="eastAsia" w:ascii="仿宋" w:hAnsi="仿宋" w:eastAsia="仿宋" w:cs="宋体"/>
                <w:i w:val="0"/>
                <w:iCs w:val="0"/>
                <w:color w:val="auto"/>
                <w:szCs w:val="21"/>
                <w:highlight w:val="none"/>
              </w:rPr>
            </w:pPr>
            <w:r>
              <w:rPr>
                <w:rFonts w:hint="eastAsia" w:ascii="仿宋" w:hAnsi="仿宋" w:eastAsia="仿宋" w:cs="宋体"/>
                <w:i w:val="0"/>
                <w:iCs w:val="0"/>
                <w:color w:val="auto"/>
                <w:kern w:val="0"/>
                <w:szCs w:val="21"/>
                <w:highlight w:val="none"/>
                <w:lang w:val="en-US" w:eastAsia="zh-CN"/>
              </w:rPr>
              <w:t>样品分</w:t>
            </w:r>
          </w:p>
        </w:tc>
        <w:tc>
          <w:tcPr>
            <w:tcW w:w="6574" w:type="dxa"/>
            <w:vAlign w:val="center"/>
          </w:tcPr>
          <w:p w14:paraId="7C69CBFD">
            <w:pPr>
              <w:tabs>
                <w:tab w:val="left" w:pos="1080"/>
              </w:tabs>
              <w:jc w:val="left"/>
              <w:rPr>
                <w:rFonts w:hint="eastAsia" w:ascii="仿宋" w:hAnsi="仿宋" w:eastAsia="仿宋"/>
                <w:i w:val="0"/>
                <w:iCs w:val="0"/>
                <w:color w:val="auto"/>
                <w:highlight w:val="none"/>
              </w:rPr>
            </w:pPr>
            <w:r>
              <w:rPr>
                <w:rFonts w:hint="eastAsia" w:ascii="仿宋" w:hAnsi="仿宋" w:eastAsia="仿宋" w:cs="宋体"/>
                <w:i w:val="0"/>
                <w:iCs w:val="0"/>
                <w:color w:val="auto"/>
                <w:kern w:val="0"/>
                <w:szCs w:val="21"/>
                <w:highlight w:val="none"/>
                <w:lang w:eastAsia="zh-CN"/>
              </w:rPr>
              <w:t>根据样品口感，酌情打分，口感好得</w:t>
            </w:r>
            <w:r>
              <w:rPr>
                <w:rFonts w:hint="eastAsia" w:ascii="仿宋" w:hAnsi="仿宋" w:eastAsia="仿宋" w:cs="宋体"/>
                <w:i w:val="0"/>
                <w:iCs w:val="0"/>
                <w:color w:val="auto"/>
                <w:kern w:val="0"/>
                <w:szCs w:val="21"/>
                <w:highlight w:val="none"/>
                <w:lang w:val="en-US" w:eastAsia="zh-CN"/>
              </w:rPr>
              <w:t>6-8分，口感较好得3-5分，口感一般得0-2分。</w:t>
            </w:r>
          </w:p>
        </w:tc>
        <w:tc>
          <w:tcPr>
            <w:tcW w:w="702" w:type="dxa"/>
            <w:vAlign w:val="center"/>
          </w:tcPr>
          <w:p w14:paraId="360DC228">
            <w:pPr>
              <w:spacing w:line="360" w:lineRule="exact"/>
              <w:jc w:val="left"/>
              <w:rPr>
                <w:rFonts w:hint="eastAsia" w:ascii="仿宋" w:hAnsi="仿宋" w:eastAsia="仿宋" w:cs="宋体"/>
                <w:i w:val="0"/>
                <w:iCs w:val="0"/>
                <w:color w:val="auto"/>
                <w:szCs w:val="21"/>
                <w:highlight w:val="none"/>
                <w:lang w:val="en-US" w:eastAsia="zh-CN"/>
              </w:rPr>
            </w:pPr>
            <w:r>
              <w:rPr>
                <w:rFonts w:hint="eastAsia" w:ascii="仿宋" w:hAnsi="仿宋" w:eastAsia="仿宋" w:cs="宋体"/>
                <w:i w:val="0"/>
                <w:iCs w:val="0"/>
                <w:color w:val="auto"/>
                <w:kern w:val="0"/>
                <w:szCs w:val="21"/>
                <w:highlight w:val="none"/>
                <w:lang w:val="en-US" w:eastAsia="zh-CN"/>
              </w:rPr>
              <w:t>8分</w:t>
            </w:r>
          </w:p>
        </w:tc>
      </w:tr>
    </w:tbl>
    <w:p w14:paraId="0452C42C">
      <w:pPr>
        <w:spacing w:line="340" w:lineRule="exact"/>
        <w:ind w:firstLine="482" w:firstLineChars="200"/>
        <w:jc w:val="left"/>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备注：</w:t>
      </w:r>
    </w:p>
    <w:p w14:paraId="2E7E474B">
      <w:pPr>
        <w:spacing w:line="340" w:lineRule="exact"/>
        <w:ind w:firstLine="482" w:firstLineChars="200"/>
        <w:jc w:val="left"/>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①请投标单位按蛋糕、面包、点心三个品类提供样品，其中蛋糕1种（6寸，切好），面包2种（切好），点心3种（每种1-2份，可切好）。</w:t>
      </w:r>
    </w:p>
    <w:p w14:paraId="0155B526">
      <w:pPr>
        <w:pStyle w:val="2"/>
        <w:ind w:firstLine="482" w:firstLineChars="200"/>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②所有样品不得出现单位名称或商标logo。</w:t>
      </w:r>
    </w:p>
    <w:p w14:paraId="01CC7A94">
      <w:pPr>
        <w:pStyle w:val="2"/>
        <w:ind w:firstLine="482" w:firstLineChars="200"/>
        <w:rPr>
          <w:rFonts w:hint="default"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未按照上述要求提供样品的，作无效标处理。</w:t>
      </w:r>
    </w:p>
    <w:p w14:paraId="210CA3B5">
      <w:pPr>
        <w:spacing w:line="34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六、履约保证金：</w:t>
      </w:r>
      <w:bookmarkStart w:id="0" w:name="_GoBack"/>
      <w:bookmarkEnd w:id="0"/>
    </w:p>
    <w:p w14:paraId="260B1592">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每位</w:t>
      </w:r>
      <w:r>
        <w:rPr>
          <w:rFonts w:hint="eastAsia" w:ascii="仿宋" w:hAnsi="仿宋" w:eastAsia="仿宋"/>
          <w:color w:val="auto"/>
          <w:sz w:val="24"/>
          <w:highlight w:val="none"/>
        </w:rPr>
        <w:t>中标人</w:t>
      </w:r>
      <w:r>
        <w:rPr>
          <w:rFonts w:hint="eastAsia" w:ascii="仿宋" w:hAnsi="仿宋" w:eastAsia="仿宋"/>
          <w:color w:val="auto"/>
          <w:sz w:val="24"/>
          <w:highlight w:val="none"/>
        </w:rPr>
        <w:t>于合同签订</w:t>
      </w:r>
      <w:r>
        <w:rPr>
          <w:rFonts w:hint="eastAsia" w:ascii="仿宋" w:hAnsi="仿宋" w:eastAsia="仿宋"/>
          <w:color w:val="auto"/>
          <w:sz w:val="24"/>
          <w:highlight w:val="none"/>
          <w:lang w:val="en-US" w:eastAsia="zh-CN"/>
        </w:rPr>
        <w:t>前</w:t>
      </w:r>
      <w:r>
        <w:rPr>
          <w:rFonts w:hint="eastAsia" w:ascii="仿宋" w:hAnsi="仿宋" w:eastAsia="仿宋"/>
          <w:color w:val="auto"/>
          <w:sz w:val="24"/>
          <w:highlight w:val="none"/>
        </w:rPr>
        <w:t>向采购人交纳履约保证金</w:t>
      </w:r>
      <w:r>
        <w:rPr>
          <w:rFonts w:hint="eastAsia" w:ascii="仿宋" w:hAnsi="仿宋" w:eastAsia="仿宋"/>
          <w:color w:val="auto"/>
          <w:sz w:val="24"/>
          <w:highlight w:val="none"/>
        </w:rPr>
        <w:t>人民币</w:t>
      </w:r>
      <w:r>
        <w:rPr>
          <w:rFonts w:hint="eastAsia" w:ascii="仿宋" w:hAnsi="仿宋" w:eastAsia="仿宋"/>
          <w:color w:val="auto"/>
          <w:sz w:val="24"/>
          <w:highlight w:val="none"/>
          <w:lang w:val="en-US" w:eastAsia="zh-CN"/>
        </w:rPr>
        <w:t>贰仟伍佰</w:t>
      </w:r>
      <w:r>
        <w:rPr>
          <w:rFonts w:hint="eastAsia" w:ascii="仿宋" w:hAnsi="仿宋" w:eastAsia="仿宋"/>
          <w:color w:val="auto"/>
          <w:sz w:val="24"/>
          <w:highlight w:val="none"/>
        </w:rPr>
        <w:t>元整，</w:t>
      </w:r>
      <w:r>
        <w:rPr>
          <w:rFonts w:hint="eastAsia" w:ascii="仿宋" w:hAnsi="仿宋" w:eastAsia="仿宋" w:cs="仿宋"/>
          <w:color w:val="auto"/>
          <w:sz w:val="24"/>
          <w:highlight w:val="none"/>
        </w:rPr>
        <w:t>履约保证金形式为：现金或银行、保险公司出具的保函（包含有效期不得少于合同期）；中标人应根据采购人要求汇入采购人指定账号或提供保函。合同履行完毕，无息退还履约保证金。</w:t>
      </w:r>
    </w:p>
    <w:p w14:paraId="324E9179">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采购人：湖州师范学院工会委员会银行账户信息：单位名称：湖州师范学院工会委员会；开户行：建行吴兴支行；账号：</w:t>
      </w:r>
      <w:r>
        <w:rPr>
          <w:rFonts w:ascii="仿宋" w:hAnsi="仿宋" w:eastAsia="仿宋"/>
          <w:color w:val="auto"/>
          <w:sz w:val="24"/>
          <w:highlight w:val="none"/>
        </w:rPr>
        <w:t>3300164933505000</w:t>
      </w:r>
      <w:r>
        <w:rPr>
          <w:rFonts w:hint="eastAsia" w:ascii="仿宋" w:hAnsi="仿宋" w:eastAsia="仿宋"/>
          <w:color w:val="auto"/>
          <w:sz w:val="24"/>
          <w:highlight w:val="none"/>
        </w:rPr>
        <w:t>2281。</w:t>
      </w:r>
    </w:p>
    <w:p w14:paraId="7E3C4A2B">
      <w:pPr>
        <w:spacing w:line="340" w:lineRule="exact"/>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七、订购及付款方式：</w:t>
      </w:r>
    </w:p>
    <w:p w14:paraId="3C503AA8">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学校</w:t>
      </w:r>
      <w:r>
        <w:rPr>
          <w:rFonts w:hint="eastAsia" w:ascii="仿宋" w:hAnsi="仿宋" w:eastAsia="仿宋"/>
          <w:color w:val="auto"/>
          <w:sz w:val="24"/>
          <w:highlight w:val="none"/>
          <w:lang w:eastAsia="zh-CN"/>
        </w:rPr>
        <w:t>工会</w:t>
      </w:r>
      <w:r>
        <w:rPr>
          <w:rFonts w:hint="eastAsia" w:ascii="仿宋" w:hAnsi="仿宋" w:eastAsia="仿宋"/>
          <w:color w:val="auto"/>
          <w:sz w:val="24"/>
          <w:highlight w:val="none"/>
          <w:lang w:val="en-US" w:eastAsia="zh-CN"/>
        </w:rPr>
        <w:t>每半年一次根据教师自愿选择的中标人确定订购数量</w:t>
      </w:r>
      <w:r>
        <w:rPr>
          <w:rFonts w:hint="eastAsia" w:ascii="仿宋" w:hAnsi="仿宋" w:eastAsia="仿宋"/>
          <w:color w:val="auto"/>
          <w:sz w:val="24"/>
          <w:highlight w:val="none"/>
        </w:rPr>
        <w:t>。根据订购</w:t>
      </w:r>
      <w:r>
        <w:rPr>
          <w:rFonts w:hint="eastAsia" w:ascii="仿宋" w:hAnsi="仿宋" w:eastAsia="仿宋"/>
          <w:color w:val="auto"/>
          <w:sz w:val="24"/>
          <w:highlight w:val="none"/>
          <w:lang w:val="en-US" w:eastAsia="zh-CN"/>
        </w:rPr>
        <w:t>数量及需求</w:t>
      </w:r>
      <w:r>
        <w:rPr>
          <w:rFonts w:hint="eastAsia" w:ascii="仿宋" w:hAnsi="仿宋" w:eastAsia="仿宋"/>
          <w:color w:val="auto"/>
          <w:sz w:val="24"/>
          <w:highlight w:val="none"/>
        </w:rPr>
        <w:t>清单，经</w:t>
      </w:r>
      <w:r>
        <w:rPr>
          <w:rFonts w:hint="eastAsia" w:ascii="仿宋" w:hAnsi="仿宋" w:eastAsia="仿宋"/>
          <w:color w:val="auto"/>
          <w:sz w:val="24"/>
          <w:highlight w:val="none"/>
          <w:lang w:val="en-US" w:eastAsia="zh-CN"/>
        </w:rPr>
        <w:t>中标人</w:t>
      </w:r>
      <w:r>
        <w:rPr>
          <w:rFonts w:hint="eastAsia" w:ascii="仿宋" w:hAnsi="仿宋" w:eastAsia="仿宋"/>
          <w:color w:val="auto"/>
          <w:sz w:val="24"/>
          <w:highlight w:val="none"/>
        </w:rPr>
        <w:t>确认后，按照</w:t>
      </w:r>
      <w:r>
        <w:rPr>
          <w:rFonts w:hint="eastAsia" w:ascii="仿宋" w:hAnsi="仿宋" w:eastAsia="仿宋"/>
          <w:color w:val="auto"/>
          <w:sz w:val="24"/>
          <w:highlight w:val="none"/>
          <w:lang w:val="en-US" w:eastAsia="zh-CN"/>
        </w:rPr>
        <w:t>20</w:t>
      </w:r>
      <w:r>
        <w:rPr>
          <w:rFonts w:hint="eastAsia" w:ascii="仿宋" w:hAnsi="仿宋" w:eastAsia="仿宋"/>
          <w:color w:val="auto"/>
          <w:sz w:val="24"/>
          <w:highlight w:val="none"/>
        </w:rPr>
        <w:t>0元/份单价</w:t>
      </w:r>
      <w:r>
        <w:rPr>
          <w:rFonts w:hint="eastAsia" w:ascii="仿宋" w:hAnsi="仿宋" w:eastAsia="仿宋"/>
          <w:color w:val="auto"/>
          <w:sz w:val="24"/>
          <w:highlight w:val="none"/>
          <w:lang w:val="en-US" w:eastAsia="zh-CN"/>
        </w:rPr>
        <w:t>分别向两位</w:t>
      </w:r>
      <w:r>
        <w:rPr>
          <w:rFonts w:hint="eastAsia" w:ascii="仿宋" w:hAnsi="仿宋" w:eastAsia="仿宋"/>
          <w:color w:val="auto"/>
          <w:sz w:val="24"/>
          <w:highlight w:val="none"/>
        </w:rPr>
        <w:t>中标人</w:t>
      </w:r>
      <w:r>
        <w:rPr>
          <w:rFonts w:hint="eastAsia" w:ascii="仿宋" w:hAnsi="仿宋" w:eastAsia="仿宋"/>
          <w:b/>
          <w:color w:val="auto"/>
          <w:sz w:val="24"/>
          <w:highlight w:val="none"/>
        </w:rPr>
        <w:t>按实结算</w:t>
      </w:r>
      <w:r>
        <w:rPr>
          <w:rFonts w:hint="eastAsia" w:ascii="仿宋" w:hAnsi="仿宋" w:eastAsia="仿宋"/>
          <w:color w:val="auto"/>
          <w:sz w:val="24"/>
          <w:highlight w:val="none"/>
        </w:rPr>
        <w:t>，并凭中标人开具的发票支付货款。</w:t>
      </w:r>
    </w:p>
    <w:p w14:paraId="42B53D16">
      <w:pPr>
        <w:spacing w:line="340" w:lineRule="exact"/>
        <w:ind w:firstLine="472" w:firstLineChars="196"/>
        <w:jc w:val="left"/>
        <w:rPr>
          <w:rFonts w:ascii="仿宋" w:hAnsi="仿宋" w:eastAsia="仿宋"/>
          <w:b/>
          <w:bCs/>
          <w:color w:val="auto"/>
          <w:sz w:val="24"/>
          <w:highlight w:val="none"/>
        </w:rPr>
      </w:pPr>
      <w:r>
        <w:rPr>
          <w:rFonts w:hint="eastAsia" w:ascii="仿宋" w:hAnsi="仿宋" w:eastAsia="仿宋"/>
          <w:b/>
          <w:bCs/>
          <w:color w:val="auto"/>
          <w:sz w:val="24"/>
          <w:highlight w:val="none"/>
        </w:rPr>
        <w:t>八、交货时间及地点</w:t>
      </w:r>
    </w:p>
    <w:p w14:paraId="43727014">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交货时间：中标人根据</w:t>
      </w:r>
      <w:r>
        <w:rPr>
          <w:rFonts w:hint="eastAsia" w:ascii="仿宋" w:hAnsi="仿宋" w:eastAsia="仿宋"/>
          <w:color w:val="auto"/>
          <w:sz w:val="24"/>
          <w:highlight w:val="none"/>
        </w:rPr>
        <w:t>订购</w:t>
      </w:r>
      <w:r>
        <w:rPr>
          <w:rFonts w:hint="eastAsia" w:ascii="仿宋" w:hAnsi="仿宋" w:eastAsia="仿宋"/>
          <w:color w:val="auto"/>
          <w:sz w:val="24"/>
          <w:highlight w:val="none"/>
          <w:lang w:val="en-US" w:eastAsia="zh-CN"/>
        </w:rPr>
        <w:t>数量</w:t>
      </w:r>
      <w:r>
        <w:rPr>
          <w:rFonts w:hint="eastAsia" w:ascii="仿宋" w:hAnsi="仿宋" w:eastAsia="仿宋"/>
          <w:color w:val="auto"/>
          <w:sz w:val="24"/>
          <w:highlight w:val="none"/>
        </w:rPr>
        <w:t>按</w:t>
      </w:r>
      <w:r>
        <w:rPr>
          <w:rFonts w:hint="eastAsia" w:ascii="仿宋" w:hAnsi="仿宋" w:eastAsia="仿宋"/>
          <w:color w:val="auto"/>
          <w:sz w:val="24"/>
          <w:highlight w:val="none"/>
          <w:lang w:val="en-US" w:eastAsia="zh-CN"/>
        </w:rPr>
        <w:t>照投标报价金额充值后</w:t>
      </w:r>
      <w:r>
        <w:rPr>
          <w:rFonts w:hint="eastAsia" w:ascii="仿宋" w:hAnsi="仿宋" w:eastAsia="仿宋"/>
          <w:color w:val="auto"/>
          <w:sz w:val="24"/>
          <w:highlight w:val="none"/>
        </w:rPr>
        <w:t>提供电子充值卡。</w:t>
      </w:r>
    </w:p>
    <w:p w14:paraId="0F062A13">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交货地点：湖州师范学院指定地点。</w:t>
      </w:r>
    </w:p>
    <w:p w14:paraId="1166E670">
      <w:pPr>
        <w:spacing w:line="340" w:lineRule="exact"/>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九、其他事项</w:t>
      </w:r>
    </w:p>
    <w:p w14:paraId="4F36F7A4">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投标人中标后，采购人有权对中标人进行服务满意度考核，如服务满意度低于90%，采购人拒绝其参加下一年度的投标。</w:t>
      </w:r>
    </w:p>
    <w:p w14:paraId="41FC5BF5">
      <w:pPr>
        <w:spacing w:line="340" w:lineRule="exact"/>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附件：投标报价清单</w:t>
      </w:r>
    </w:p>
    <w:p w14:paraId="5744C93E">
      <w:pPr>
        <w:spacing w:line="340" w:lineRule="exact"/>
        <w:ind w:firstLine="482" w:firstLineChars="200"/>
        <w:jc w:val="left"/>
        <w:rPr>
          <w:rFonts w:ascii="仿宋" w:hAnsi="仿宋" w:eastAsia="仿宋"/>
          <w:b/>
          <w:color w:val="auto"/>
          <w:sz w:val="24"/>
          <w:highlight w:val="none"/>
        </w:rPr>
      </w:pPr>
    </w:p>
    <w:p w14:paraId="56737156">
      <w:pPr>
        <w:spacing w:before="100" w:line="340" w:lineRule="exact"/>
        <w:ind w:firstLine="4819" w:firstLineChars="2000"/>
        <w:jc w:val="left"/>
        <w:rPr>
          <w:rFonts w:ascii="仿宋" w:hAnsi="仿宋" w:eastAsia="仿宋"/>
          <w:b/>
          <w:color w:val="auto"/>
          <w:sz w:val="24"/>
          <w:highlight w:val="none"/>
        </w:rPr>
      </w:pPr>
      <w:r>
        <w:rPr>
          <w:rFonts w:hint="eastAsia" w:ascii="仿宋" w:hAnsi="仿宋" w:eastAsia="仿宋"/>
          <w:b/>
          <w:color w:val="auto"/>
          <w:sz w:val="24"/>
          <w:highlight w:val="none"/>
        </w:rPr>
        <w:t>湖州师范学院采购中心</w:t>
      </w:r>
    </w:p>
    <w:p w14:paraId="3C860874">
      <w:pPr>
        <w:spacing w:before="100" w:line="340" w:lineRule="exact"/>
        <w:ind w:firstLine="482" w:firstLineChars="200"/>
        <w:jc w:val="left"/>
        <w:rPr>
          <w:rFonts w:ascii="仿宋" w:hAnsi="仿宋" w:eastAsia="仿宋"/>
          <w:b/>
          <w:color w:val="auto"/>
          <w:sz w:val="24"/>
          <w:highlight w:val="none"/>
        </w:rPr>
      </w:pPr>
      <w:r>
        <w:rPr>
          <w:rFonts w:ascii="仿宋" w:hAnsi="仿宋" w:eastAsia="仿宋"/>
          <w:b/>
          <w:color w:val="auto"/>
          <w:sz w:val="24"/>
          <w:highlight w:val="none"/>
        </w:rPr>
        <w:t xml:space="preserve">                                        20</w:t>
      </w:r>
      <w:r>
        <w:rPr>
          <w:rFonts w:hint="eastAsia" w:ascii="仿宋" w:hAnsi="仿宋" w:eastAsia="仿宋"/>
          <w:b/>
          <w:color w:val="auto"/>
          <w:sz w:val="24"/>
          <w:highlight w:val="none"/>
        </w:rPr>
        <w:t>2</w:t>
      </w:r>
      <w:r>
        <w:rPr>
          <w:rFonts w:hint="eastAsia" w:ascii="仿宋" w:hAnsi="仿宋" w:eastAsia="仿宋"/>
          <w:b/>
          <w:color w:val="auto"/>
          <w:sz w:val="24"/>
          <w:highlight w:val="none"/>
          <w:lang w:val="en-US" w:eastAsia="zh-CN"/>
        </w:rPr>
        <w:t>4</w:t>
      </w:r>
      <w:r>
        <w:rPr>
          <w:rFonts w:hint="eastAsia" w:ascii="仿宋" w:hAnsi="仿宋" w:eastAsia="仿宋"/>
          <w:b/>
          <w:color w:val="auto"/>
          <w:sz w:val="24"/>
          <w:highlight w:val="none"/>
        </w:rPr>
        <w:t>年1</w:t>
      </w: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 xml:space="preserve"> 12</w:t>
      </w:r>
      <w:r>
        <w:rPr>
          <w:rFonts w:hint="eastAsia" w:ascii="仿宋" w:hAnsi="仿宋" w:eastAsia="仿宋"/>
          <w:b/>
          <w:color w:val="auto"/>
          <w:sz w:val="24"/>
          <w:highlight w:val="none"/>
        </w:rPr>
        <w:t>日</w:t>
      </w:r>
    </w:p>
    <w:p w14:paraId="11D0BE13">
      <w:pPr>
        <w:spacing w:before="100" w:line="340" w:lineRule="exact"/>
        <w:jc w:val="left"/>
        <w:rPr>
          <w:rFonts w:ascii="黑体" w:hAnsi="黑体" w:eastAsia="黑体"/>
          <w:color w:val="auto"/>
          <w:sz w:val="24"/>
          <w:highlight w:val="none"/>
        </w:rPr>
      </w:pPr>
    </w:p>
    <w:p w14:paraId="07533B17">
      <w:pPr>
        <w:spacing w:before="100" w:line="340" w:lineRule="exact"/>
        <w:jc w:val="left"/>
        <w:rPr>
          <w:rFonts w:ascii="黑体" w:hAnsi="黑体" w:eastAsia="黑体"/>
          <w:color w:val="auto"/>
          <w:sz w:val="24"/>
          <w:highlight w:val="none"/>
        </w:rPr>
      </w:pPr>
      <w:r>
        <w:rPr>
          <w:rFonts w:hint="eastAsia" w:ascii="黑体" w:hAnsi="黑体" w:eastAsia="黑体"/>
          <w:color w:val="auto"/>
          <w:sz w:val="24"/>
          <w:highlight w:val="none"/>
        </w:rPr>
        <w:t>附件：投标报价清单</w:t>
      </w:r>
    </w:p>
    <w:p w14:paraId="74E6768A">
      <w:pPr>
        <w:spacing w:before="100" w:line="340" w:lineRule="exact"/>
        <w:ind w:firstLine="643" w:firstLineChars="200"/>
        <w:jc w:val="center"/>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rPr>
        <w:t>投标报价（优惠单价报价）清单</w:t>
      </w:r>
    </w:p>
    <w:p w14:paraId="2E6DD02D">
      <w:pPr>
        <w:spacing w:line="340" w:lineRule="exact"/>
        <w:jc w:val="left"/>
        <w:rPr>
          <w:rFonts w:ascii="仿宋" w:hAnsi="仿宋" w:eastAsia="仿宋"/>
          <w:color w:val="auto"/>
          <w:sz w:val="24"/>
          <w:highlight w:val="none"/>
        </w:rPr>
      </w:pPr>
    </w:p>
    <w:p w14:paraId="203F0128">
      <w:pPr>
        <w:spacing w:line="340" w:lineRule="exact"/>
        <w:jc w:val="left"/>
        <w:rPr>
          <w:rFonts w:ascii="仿宋" w:hAnsi="仿宋" w:eastAsia="仿宋" w:cs="宋体"/>
          <w:b/>
          <w:color w:val="auto"/>
          <w:kern w:val="0"/>
          <w:sz w:val="24"/>
          <w:highlight w:val="none"/>
        </w:rPr>
      </w:pPr>
      <w:r>
        <w:rPr>
          <w:rFonts w:hint="eastAsia" w:ascii="仿宋" w:hAnsi="仿宋" w:eastAsia="仿宋"/>
          <w:color w:val="auto"/>
          <w:sz w:val="24"/>
          <w:highlight w:val="none"/>
        </w:rPr>
        <w:t>项目名称：</w:t>
      </w:r>
      <w:r>
        <w:rPr>
          <w:rFonts w:hint="eastAsia" w:ascii="仿宋" w:hAnsi="仿宋" w:eastAsia="仿宋" w:cs="宋体"/>
          <w:color w:val="auto"/>
          <w:kern w:val="0"/>
          <w:sz w:val="24"/>
          <w:highlight w:val="none"/>
        </w:rPr>
        <w:t>湖州师范学院工会2025年教职工生日蛋糕采购项目</w:t>
      </w:r>
    </w:p>
    <w:p w14:paraId="13D31AF3">
      <w:pPr>
        <w:spacing w:line="340" w:lineRule="exact"/>
        <w:jc w:val="left"/>
        <w:rPr>
          <w:rFonts w:hint="default" w:ascii="仿宋" w:hAnsi="仿宋" w:eastAsia="仿宋"/>
          <w:b/>
          <w:color w:val="auto"/>
          <w:sz w:val="24"/>
          <w:highlight w:val="none"/>
          <w:lang w:val="en-US" w:eastAsia="zh-CN"/>
        </w:rPr>
      </w:pPr>
      <w:r>
        <w:rPr>
          <w:rFonts w:hint="eastAsia" w:ascii="仿宋" w:hAnsi="仿宋" w:eastAsia="仿宋"/>
          <w:color w:val="auto"/>
          <w:sz w:val="24"/>
          <w:highlight w:val="none"/>
        </w:rPr>
        <w:t>项目编号：XZ</w:t>
      </w:r>
      <w:r>
        <w:rPr>
          <w:rFonts w:hint="eastAsia" w:ascii="仿宋" w:hAnsi="仿宋" w:eastAsia="仿宋" w:cs="仿宋_GB2312"/>
          <w:color w:val="auto"/>
          <w:sz w:val="24"/>
          <w:highlight w:val="none"/>
        </w:rPr>
        <w:t>202</w:t>
      </w:r>
      <w:r>
        <w:rPr>
          <w:rFonts w:hint="eastAsia" w:ascii="仿宋" w:hAnsi="仿宋" w:eastAsia="仿宋" w:cs="仿宋_GB2312"/>
          <w:color w:val="auto"/>
          <w:sz w:val="24"/>
          <w:highlight w:val="none"/>
          <w:lang w:val="en-US" w:eastAsia="zh-CN"/>
        </w:rPr>
        <w:t>4</w:t>
      </w:r>
      <w:r>
        <w:rPr>
          <w:rFonts w:hint="default"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lang w:val="en-US" w:eastAsia="zh-CN"/>
        </w:rPr>
        <w:t>138</w:t>
      </w:r>
    </w:p>
    <w:tbl>
      <w:tblPr>
        <w:tblStyle w:val="8"/>
        <w:tblW w:w="9374" w:type="dxa"/>
        <w:jc w:val="center"/>
        <w:tblLayout w:type="fixed"/>
        <w:tblCellMar>
          <w:top w:w="0" w:type="dxa"/>
          <w:left w:w="30" w:type="dxa"/>
          <w:bottom w:w="0" w:type="dxa"/>
          <w:right w:w="30" w:type="dxa"/>
        </w:tblCellMar>
      </w:tblPr>
      <w:tblGrid>
        <w:gridCol w:w="915"/>
        <w:gridCol w:w="1750"/>
        <w:gridCol w:w="709"/>
        <w:gridCol w:w="709"/>
        <w:gridCol w:w="1984"/>
        <w:gridCol w:w="3307"/>
      </w:tblGrid>
      <w:tr w14:paraId="2BF4969F">
        <w:tblPrEx>
          <w:tblCellMar>
            <w:top w:w="0" w:type="dxa"/>
            <w:left w:w="30" w:type="dxa"/>
            <w:bottom w:w="0" w:type="dxa"/>
            <w:right w:w="30" w:type="dxa"/>
          </w:tblCellMar>
        </w:tblPrEx>
        <w:trPr>
          <w:trHeight w:val="495" w:hRule="atLeast"/>
          <w:jc w:val="center"/>
        </w:trPr>
        <w:tc>
          <w:tcPr>
            <w:tcW w:w="915" w:type="dxa"/>
            <w:tcBorders>
              <w:top w:val="single" w:color="auto" w:sz="6" w:space="0"/>
              <w:left w:val="single" w:color="auto" w:sz="6" w:space="0"/>
              <w:bottom w:val="single" w:color="auto" w:sz="6" w:space="0"/>
              <w:right w:val="single" w:color="auto" w:sz="4" w:space="0"/>
            </w:tcBorders>
            <w:vAlign w:val="center"/>
          </w:tcPr>
          <w:p w14:paraId="1F8147F4">
            <w:pPr>
              <w:jc w:val="center"/>
              <w:rPr>
                <w:rFonts w:hint="eastAsia" w:ascii="仿宋" w:hAnsi="仿宋" w:eastAsia="仿宋"/>
                <w:b/>
                <w:color w:val="auto"/>
                <w:sz w:val="24"/>
                <w:highlight w:val="none"/>
                <w:lang w:eastAsia="zh-CN"/>
              </w:rPr>
            </w:pPr>
            <w:r>
              <w:rPr>
                <w:rFonts w:hint="eastAsia" w:ascii="仿宋" w:hAnsi="仿宋" w:eastAsia="仿宋"/>
                <w:b/>
                <w:color w:val="auto"/>
                <w:sz w:val="24"/>
                <w:highlight w:val="none"/>
                <w:lang w:val="en-US" w:eastAsia="zh-CN"/>
              </w:rPr>
              <w:t>序号</w:t>
            </w:r>
          </w:p>
        </w:tc>
        <w:tc>
          <w:tcPr>
            <w:tcW w:w="1750" w:type="dxa"/>
            <w:tcBorders>
              <w:top w:val="single" w:color="auto" w:sz="6" w:space="0"/>
              <w:left w:val="single" w:color="auto" w:sz="6" w:space="0"/>
              <w:bottom w:val="single" w:color="auto" w:sz="6" w:space="0"/>
              <w:right w:val="single" w:color="auto" w:sz="4" w:space="0"/>
            </w:tcBorders>
            <w:vAlign w:val="center"/>
          </w:tcPr>
          <w:p w14:paraId="0849EFF7">
            <w:pPr>
              <w:jc w:val="center"/>
              <w:rPr>
                <w:rFonts w:ascii="仿宋" w:hAnsi="仿宋" w:eastAsia="仿宋"/>
                <w:b/>
                <w:color w:val="auto"/>
                <w:sz w:val="24"/>
                <w:highlight w:val="none"/>
              </w:rPr>
            </w:pPr>
            <w:r>
              <w:rPr>
                <w:rFonts w:hint="eastAsia" w:ascii="仿宋" w:hAnsi="仿宋" w:eastAsia="仿宋"/>
                <w:b/>
                <w:color w:val="auto"/>
                <w:sz w:val="24"/>
                <w:highlight w:val="none"/>
              </w:rPr>
              <w:t>货物名称</w:t>
            </w:r>
          </w:p>
        </w:tc>
        <w:tc>
          <w:tcPr>
            <w:tcW w:w="709" w:type="dxa"/>
            <w:tcBorders>
              <w:top w:val="single" w:color="auto" w:sz="6" w:space="0"/>
              <w:left w:val="single" w:color="auto" w:sz="6" w:space="0"/>
              <w:bottom w:val="single" w:color="auto" w:sz="6" w:space="0"/>
              <w:right w:val="single" w:color="auto" w:sz="4" w:space="0"/>
            </w:tcBorders>
            <w:vAlign w:val="center"/>
          </w:tcPr>
          <w:p w14:paraId="688D9909">
            <w:pPr>
              <w:jc w:val="center"/>
              <w:rPr>
                <w:rFonts w:ascii="仿宋" w:hAnsi="仿宋" w:eastAsia="仿宋"/>
                <w:b/>
                <w:color w:val="auto"/>
                <w:sz w:val="24"/>
                <w:highlight w:val="none"/>
              </w:rPr>
            </w:pPr>
            <w:r>
              <w:rPr>
                <w:rFonts w:hint="eastAsia" w:ascii="仿宋" w:hAnsi="仿宋" w:eastAsia="仿宋"/>
                <w:b/>
                <w:color w:val="auto"/>
                <w:sz w:val="24"/>
                <w:highlight w:val="none"/>
              </w:rPr>
              <w:t>数量</w:t>
            </w:r>
          </w:p>
        </w:tc>
        <w:tc>
          <w:tcPr>
            <w:tcW w:w="709" w:type="dxa"/>
            <w:tcBorders>
              <w:top w:val="single" w:color="auto" w:sz="6" w:space="0"/>
              <w:left w:val="single" w:color="auto" w:sz="4" w:space="0"/>
              <w:bottom w:val="single" w:color="auto" w:sz="6" w:space="0"/>
              <w:right w:val="single" w:color="auto" w:sz="6" w:space="0"/>
            </w:tcBorders>
            <w:vAlign w:val="center"/>
          </w:tcPr>
          <w:p w14:paraId="44A43C86">
            <w:pPr>
              <w:jc w:val="center"/>
              <w:rPr>
                <w:rFonts w:ascii="仿宋" w:hAnsi="仿宋" w:eastAsia="仿宋"/>
                <w:b/>
                <w:color w:val="auto"/>
                <w:sz w:val="24"/>
                <w:highlight w:val="none"/>
              </w:rPr>
            </w:pPr>
            <w:r>
              <w:rPr>
                <w:rFonts w:hint="eastAsia" w:ascii="仿宋" w:hAnsi="仿宋" w:eastAsia="仿宋"/>
                <w:b/>
                <w:color w:val="auto"/>
                <w:sz w:val="24"/>
                <w:highlight w:val="none"/>
              </w:rPr>
              <w:t>单位</w:t>
            </w:r>
          </w:p>
        </w:tc>
        <w:tc>
          <w:tcPr>
            <w:tcW w:w="1984" w:type="dxa"/>
            <w:tcBorders>
              <w:top w:val="single" w:color="auto" w:sz="6" w:space="0"/>
              <w:left w:val="single" w:color="auto" w:sz="6" w:space="0"/>
              <w:bottom w:val="single" w:color="auto" w:sz="6" w:space="0"/>
              <w:right w:val="single" w:color="auto" w:sz="6" w:space="0"/>
            </w:tcBorders>
            <w:vAlign w:val="center"/>
          </w:tcPr>
          <w:p w14:paraId="0A1B13DB">
            <w:pPr>
              <w:jc w:val="center"/>
              <w:rPr>
                <w:rFonts w:ascii="仿宋" w:hAnsi="仿宋" w:eastAsia="仿宋"/>
                <w:b/>
                <w:color w:val="auto"/>
                <w:sz w:val="24"/>
                <w:highlight w:val="none"/>
              </w:rPr>
            </w:pPr>
            <w:r>
              <w:rPr>
                <w:rFonts w:hint="eastAsia" w:ascii="仿宋" w:hAnsi="仿宋" w:eastAsia="仿宋"/>
                <w:b/>
                <w:color w:val="auto"/>
                <w:sz w:val="24"/>
                <w:highlight w:val="none"/>
              </w:rPr>
              <w:t>充值卡采购单价</w:t>
            </w:r>
          </w:p>
        </w:tc>
        <w:tc>
          <w:tcPr>
            <w:tcW w:w="3307" w:type="dxa"/>
            <w:tcBorders>
              <w:top w:val="single" w:color="auto" w:sz="6" w:space="0"/>
              <w:left w:val="single" w:color="auto" w:sz="6" w:space="0"/>
              <w:bottom w:val="single" w:color="auto" w:sz="6" w:space="0"/>
              <w:right w:val="single" w:color="auto" w:sz="6" w:space="0"/>
            </w:tcBorders>
            <w:vAlign w:val="center"/>
          </w:tcPr>
          <w:p w14:paraId="6560AE96">
            <w:pPr>
              <w:jc w:val="center"/>
              <w:rPr>
                <w:rFonts w:ascii="仿宋" w:hAnsi="仿宋" w:eastAsia="仿宋"/>
                <w:b/>
                <w:color w:val="auto"/>
                <w:sz w:val="24"/>
                <w:highlight w:val="none"/>
              </w:rPr>
            </w:pPr>
            <w:r>
              <w:rPr>
                <w:rFonts w:hint="eastAsia" w:ascii="仿宋" w:hAnsi="仿宋" w:eastAsia="仿宋"/>
                <w:b/>
                <w:color w:val="auto"/>
                <w:sz w:val="24"/>
                <w:highlight w:val="none"/>
              </w:rPr>
              <w:t>充值卡优惠单价（报价）</w:t>
            </w:r>
          </w:p>
        </w:tc>
      </w:tr>
      <w:tr w14:paraId="5C6BA7B6">
        <w:tblPrEx>
          <w:tblCellMar>
            <w:top w:w="0" w:type="dxa"/>
            <w:left w:w="30" w:type="dxa"/>
            <w:bottom w:w="0" w:type="dxa"/>
            <w:right w:w="30" w:type="dxa"/>
          </w:tblCellMar>
        </w:tblPrEx>
        <w:trPr>
          <w:trHeight w:val="1020" w:hRule="exact"/>
          <w:jc w:val="center"/>
        </w:trPr>
        <w:tc>
          <w:tcPr>
            <w:tcW w:w="915" w:type="dxa"/>
            <w:tcBorders>
              <w:top w:val="single" w:color="auto" w:sz="6" w:space="0"/>
              <w:left w:val="single" w:color="auto" w:sz="6" w:space="0"/>
              <w:bottom w:val="single" w:color="auto" w:sz="6" w:space="0"/>
              <w:right w:val="single" w:color="auto" w:sz="4" w:space="0"/>
            </w:tcBorders>
            <w:vAlign w:val="center"/>
          </w:tcPr>
          <w:p w14:paraId="5EF2D57E">
            <w:pPr>
              <w:jc w:val="center"/>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1</w:t>
            </w:r>
          </w:p>
        </w:tc>
        <w:tc>
          <w:tcPr>
            <w:tcW w:w="1750" w:type="dxa"/>
            <w:tcBorders>
              <w:top w:val="single" w:color="auto" w:sz="6" w:space="0"/>
              <w:left w:val="single" w:color="auto" w:sz="6" w:space="0"/>
              <w:bottom w:val="single" w:color="auto" w:sz="6" w:space="0"/>
              <w:right w:val="single" w:color="auto" w:sz="4" w:space="0"/>
            </w:tcBorders>
            <w:vAlign w:val="center"/>
          </w:tcPr>
          <w:p w14:paraId="4E81B387">
            <w:pPr>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eastAsia="zh-CN"/>
              </w:rPr>
              <w:t>教职工生日蛋糕等食品</w:t>
            </w:r>
          </w:p>
        </w:tc>
        <w:tc>
          <w:tcPr>
            <w:tcW w:w="709" w:type="dxa"/>
            <w:tcBorders>
              <w:top w:val="single" w:color="auto" w:sz="6" w:space="0"/>
              <w:left w:val="single" w:color="auto" w:sz="6" w:space="0"/>
              <w:bottom w:val="single" w:color="auto" w:sz="6" w:space="0"/>
              <w:right w:val="single" w:color="auto" w:sz="4" w:space="0"/>
            </w:tcBorders>
            <w:vAlign w:val="center"/>
          </w:tcPr>
          <w:p w14:paraId="41CB6710">
            <w:pPr>
              <w:adjustRightInd w:val="0"/>
              <w:snapToGrid w:val="0"/>
              <w:spacing w:line="240" w:lineRule="exact"/>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w:t>
            </w:r>
          </w:p>
        </w:tc>
        <w:tc>
          <w:tcPr>
            <w:tcW w:w="709" w:type="dxa"/>
            <w:tcBorders>
              <w:top w:val="single" w:color="auto" w:sz="6" w:space="0"/>
              <w:left w:val="single" w:color="auto" w:sz="4" w:space="0"/>
              <w:bottom w:val="single" w:color="auto" w:sz="6" w:space="0"/>
              <w:right w:val="single" w:color="auto" w:sz="6" w:space="0"/>
            </w:tcBorders>
            <w:vAlign w:val="center"/>
          </w:tcPr>
          <w:p w14:paraId="6F4AD158">
            <w:pPr>
              <w:adjustRightInd w:val="0"/>
              <w:snapToGrid w:val="0"/>
              <w:spacing w:line="240" w:lineRule="exact"/>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份</w:t>
            </w:r>
          </w:p>
        </w:tc>
        <w:tc>
          <w:tcPr>
            <w:tcW w:w="1984" w:type="dxa"/>
            <w:tcBorders>
              <w:top w:val="single" w:color="auto" w:sz="6" w:space="0"/>
              <w:left w:val="single" w:color="auto" w:sz="6" w:space="0"/>
              <w:bottom w:val="single" w:color="auto" w:sz="6" w:space="0"/>
              <w:right w:val="single" w:color="auto" w:sz="6" w:space="0"/>
            </w:tcBorders>
            <w:vAlign w:val="center"/>
          </w:tcPr>
          <w:p w14:paraId="38FDF4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olor w:val="auto"/>
                <w:sz w:val="24"/>
                <w:highlight w:val="none"/>
                <w:lang w:val="en-US" w:eastAsia="zh-CN"/>
              </w:rPr>
            </w:pPr>
            <w:r>
              <w:rPr>
                <w:rFonts w:hint="eastAsia" w:ascii="仿宋" w:hAnsi="仿宋" w:eastAsia="仿宋" w:cs="仿宋_GB2312"/>
                <w:color w:val="auto"/>
                <w:kern w:val="0"/>
                <w:sz w:val="24"/>
                <w:highlight w:val="none"/>
                <w:lang w:val="en-US" w:eastAsia="zh-CN"/>
              </w:rPr>
              <w:t>200元</w:t>
            </w:r>
          </w:p>
        </w:tc>
        <w:tc>
          <w:tcPr>
            <w:tcW w:w="3307" w:type="dxa"/>
            <w:tcBorders>
              <w:top w:val="single" w:color="auto" w:sz="6" w:space="0"/>
              <w:left w:val="single" w:color="auto" w:sz="6" w:space="0"/>
              <w:bottom w:val="single" w:color="auto" w:sz="6" w:space="0"/>
              <w:right w:val="single" w:color="auto" w:sz="6" w:space="0"/>
            </w:tcBorders>
            <w:vAlign w:val="center"/>
          </w:tcPr>
          <w:p w14:paraId="025BC52A">
            <w:pPr>
              <w:rPr>
                <w:rFonts w:ascii="仿宋" w:hAnsi="仿宋" w:eastAsia="仿宋"/>
                <w:color w:val="auto"/>
                <w:sz w:val="24"/>
                <w:highlight w:val="none"/>
              </w:rPr>
            </w:pPr>
            <w:r>
              <w:rPr>
                <w:rFonts w:hint="eastAsia" w:ascii="仿宋" w:hAnsi="仿宋" w:eastAsia="仿宋"/>
                <w:color w:val="auto"/>
                <w:sz w:val="24"/>
                <w:highlight w:val="none"/>
              </w:rPr>
              <w:t>人民币（大写）：         元</w:t>
            </w:r>
          </w:p>
          <w:p w14:paraId="2E3FB8C5">
            <w:pPr>
              <w:rPr>
                <w:rFonts w:hint="eastAsia" w:ascii="仿宋" w:hAnsi="仿宋" w:eastAsia="仿宋"/>
                <w:color w:val="auto"/>
                <w:sz w:val="24"/>
                <w:highlight w:val="none"/>
              </w:rPr>
            </w:pPr>
            <w:r>
              <w:rPr>
                <w:rFonts w:hint="eastAsia" w:ascii="仿宋" w:hAnsi="仿宋" w:eastAsia="仿宋"/>
                <w:color w:val="auto"/>
                <w:sz w:val="24"/>
                <w:highlight w:val="none"/>
              </w:rPr>
              <w:t>人民币（小写）：         元</w:t>
            </w:r>
          </w:p>
        </w:tc>
      </w:tr>
    </w:tbl>
    <w:p w14:paraId="0CBE80CA">
      <w:pPr>
        <w:spacing w:line="360" w:lineRule="auto"/>
        <w:ind w:right="480"/>
        <w:rPr>
          <w:rFonts w:ascii="仿宋" w:hAnsi="仿宋" w:eastAsia="仿宋"/>
          <w:color w:val="auto"/>
          <w:sz w:val="24"/>
          <w:highlight w:val="none"/>
        </w:rPr>
      </w:pPr>
    </w:p>
    <w:p w14:paraId="0794C2AB">
      <w:pPr>
        <w:spacing w:line="360" w:lineRule="auto"/>
        <w:ind w:right="480" w:firstLine="5040" w:firstLineChars="2100"/>
        <w:rPr>
          <w:rFonts w:ascii="仿宋" w:hAnsi="仿宋" w:eastAsia="仿宋"/>
          <w:color w:val="auto"/>
          <w:sz w:val="24"/>
          <w:highlight w:val="none"/>
          <w:u w:val="single"/>
        </w:rPr>
      </w:pPr>
      <w:r>
        <w:rPr>
          <w:rFonts w:hint="eastAsia" w:ascii="仿宋" w:hAnsi="仿宋" w:eastAsia="仿宋"/>
          <w:color w:val="auto"/>
          <w:sz w:val="24"/>
          <w:highlight w:val="none"/>
        </w:rPr>
        <w:t>授权代表签字：</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58CC8DA1">
      <w:pPr>
        <w:spacing w:line="360" w:lineRule="auto"/>
        <w:ind w:right="120" w:firstLine="5040" w:firstLineChars="2100"/>
        <w:jc w:val="left"/>
        <w:rPr>
          <w:rFonts w:ascii="仿宋" w:hAnsi="仿宋" w:eastAsia="仿宋"/>
          <w:color w:val="auto"/>
          <w:sz w:val="24"/>
          <w:highlight w:val="none"/>
          <w:u w:val="single"/>
        </w:rPr>
      </w:pPr>
      <w:r>
        <w:rPr>
          <w:rFonts w:hint="eastAsia" w:ascii="仿宋" w:hAnsi="仿宋" w:eastAsia="仿宋"/>
          <w:color w:val="auto"/>
          <w:sz w:val="24"/>
          <w:highlight w:val="none"/>
        </w:rPr>
        <w:t>投标人（盖章）：</w:t>
      </w:r>
      <w:r>
        <w:rPr>
          <w:rFonts w:ascii="仿宋" w:hAnsi="仿宋" w:eastAsia="仿宋"/>
          <w:color w:val="auto"/>
          <w:sz w:val="24"/>
          <w:highlight w:val="none"/>
          <w:u w:val="single"/>
        </w:rPr>
        <w:t xml:space="preserve">                   </w:t>
      </w:r>
    </w:p>
    <w:p w14:paraId="65CB6ADB">
      <w:pPr>
        <w:spacing w:line="360" w:lineRule="auto"/>
        <w:ind w:firstLine="480" w:firstLineChars="200"/>
        <w:jc w:val="center"/>
        <w:rPr>
          <w:rFonts w:ascii="仿宋" w:hAnsi="仿宋" w:eastAsia="仿宋"/>
          <w:color w:val="auto"/>
          <w:sz w:val="18"/>
          <w:szCs w:val="18"/>
          <w:highlight w:val="none"/>
          <w:u w:val="single"/>
        </w:rPr>
      </w:pPr>
      <w:r>
        <w:rPr>
          <w:rFonts w:ascii="仿宋" w:hAnsi="仿宋" w:eastAsia="仿宋"/>
          <w:color w:val="auto"/>
          <w:sz w:val="24"/>
          <w:highlight w:val="none"/>
        </w:rPr>
        <w:t xml:space="preserve">                                      20</w:t>
      </w: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sectPr>
      <w:footerReference r:id="rId3" w:type="default"/>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886188"/>
      <w:docPartObj>
        <w:docPartGallery w:val="autotext"/>
      </w:docPartObj>
    </w:sdtPr>
    <w:sdtContent>
      <w:p w14:paraId="12296B7F">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14:paraId="46B9665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21B3"/>
    <w:rsid w:val="0000054B"/>
    <w:rsid w:val="00004BC3"/>
    <w:rsid w:val="00016058"/>
    <w:rsid w:val="00017251"/>
    <w:rsid w:val="00042CD1"/>
    <w:rsid w:val="000529EB"/>
    <w:rsid w:val="00053765"/>
    <w:rsid w:val="00053FAA"/>
    <w:rsid w:val="00056B5C"/>
    <w:rsid w:val="00071969"/>
    <w:rsid w:val="00083BE2"/>
    <w:rsid w:val="000918EC"/>
    <w:rsid w:val="00095BE3"/>
    <w:rsid w:val="000A3D62"/>
    <w:rsid w:val="000A4D90"/>
    <w:rsid w:val="000A5271"/>
    <w:rsid w:val="000A5287"/>
    <w:rsid w:val="000A550F"/>
    <w:rsid w:val="000A636C"/>
    <w:rsid w:val="000A7397"/>
    <w:rsid w:val="000B4F60"/>
    <w:rsid w:val="000C0058"/>
    <w:rsid w:val="000C5428"/>
    <w:rsid w:val="000D295B"/>
    <w:rsid w:val="00103E96"/>
    <w:rsid w:val="00107645"/>
    <w:rsid w:val="00114986"/>
    <w:rsid w:val="0011702D"/>
    <w:rsid w:val="00124959"/>
    <w:rsid w:val="00142043"/>
    <w:rsid w:val="001424F5"/>
    <w:rsid w:val="00164D28"/>
    <w:rsid w:val="00170EF8"/>
    <w:rsid w:val="001758ED"/>
    <w:rsid w:val="00180813"/>
    <w:rsid w:val="001871BA"/>
    <w:rsid w:val="001904A3"/>
    <w:rsid w:val="0019725C"/>
    <w:rsid w:val="001B65C1"/>
    <w:rsid w:val="001B6CE3"/>
    <w:rsid w:val="001C604E"/>
    <w:rsid w:val="001D1CA6"/>
    <w:rsid w:val="001D5EC5"/>
    <w:rsid w:val="001F18CA"/>
    <w:rsid w:val="001F56B0"/>
    <w:rsid w:val="00200CBC"/>
    <w:rsid w:val="00210641"/>
    <w:rsid w:val="00211618"/>
    <w:rsid w:val="002323B0"/>
    <w:rsid w:val="00235100"/>
    <w:rsid w:val="00236A7F"/>
    <w:rsid w:val="00236F5F"/>
    <w:rsid w:val="002458CA"/>
    <w:rsid w:val="00254F41"/>
    <w:rsid w:val="00255EE9"/>
    <w:rsid w:val="002670D9"/>
    <w:rsid w:val="00272ACA"/>
    <w:rsid w:val="00297367"/>
    <w:rsid w:val="002A7110"/>
    <w:rsid w:val="002B5C50"/>
    <w:rsid w:val="002B732A"/>
    <w:rsid w:val="002D2294"/>
    <w:rsid w:val="002D47DD"/>
    <w:rsid w:val="002F7BFD"/>
    <w:rsid w:val="003021B3"/>
    <w:rsid w:val="00312E86"/>
    <w:rsid w:val="00324436"/>
    <w:rsid w:val="00336A65"/>
    <w:rsid w:val="00343117"/>
    <w:rsid w:val="00354DFE"/>
    <w:rsid w:val="003674A5"/>
    <w:rsid w:val="00367BCF"/>
    <w:rsid w:val="003720F1"/>
    <w:rsid w:val="00384CBE"/>
    <w:rsid w:val="00387E0F"/>
    <w:rsid w:val="00390C90"/>
    <w:rsid w:val="003B6995"/>
    <w:rsid w:val="003C06AA"/>
    <w:rsid w:val="003C19D7"/>
    <w:rsid w:val="0041462C"/>
    <w:rsid w:val="0041691D"/>
    <w:rsid w:val="00432D33"/>
    <w:rsid w:val="00441BE4"/>
    <w:rsid w:val="00461EE6"/>
    <w:rsid w:val="004770CB"/>
    <w:rsid w:val="00483CE6"/>
    <w:rsid w:val="00485A07"/>
    <w:rsid w:val="00494C63"/>
    <w:rsid w:val="004A2667"/>
    <w:rsid w:val="004A758A"/>
    <w:rsid w:val="004D55FB"/>
    <w:rsid w:val="00503C41"/>
    <w:rsid w:val="0051433A"/>
    <w:rsid w:val="00522DF9"/>
    <w:rsid w:val="005269E8"/>
    <w:rsid w:val="00542203"/>
    <w:rsid w:val="0055543E"/>
    <w:rsid w:val="00566731"/>
    <w:rsid w:val="0058019E"/>
    <w:rsid w:val="0058789F"/>
    <w:rsid w:val="005930D7"/>
    <w:rsid w:val="00594E0A"/>
    <w:rsid w:val="005A1824"/>
    <w:rsid w:val="005A3E25"/>
    <w:rsid w:val="005C19ED"/>
    <w:rsid w:val="005C1E82"/>
    <w:rsid w:val="005C3567"/>
    <w:rsid w:val="005C3D8C"/>
    <w:rsid w:val="005D553D"/>
    <w:rsid w:val="005D76A8"/>
    <w:rsid w:val="005E2BCB"/>
    <w:rsid w:val="005F072B"/>
    <w:rsid w:val="005F629A"/>
    <w:rsid w:val="005F6475"/>
    <w:rsid w:val="006003D1"/>
    <w:rsid w:val="00602DCE"/>
    <w:rsid w:val="00607785"/>
    <w:rsid w:val="00646617"/>
    <w:rsid w:val="00666CBF"/>
    <w:rsid w:val="006727CA"/>
    <w:rsid w:val="006800BD"/>
    <w:rsid w:val="00680592"/>
    <w:rsid w:val="00686EBA"/>
    <w:rsid w:val="00692B20"/>
    <w:rsid w:val="00696174"/>
    <w:rsid w:val="006A7822"/>
    <w:rsid w:val="006B62D4"/>
    <w:rsid w:val="006C1EAD"/>
    <w:rsid w:val="006C48B4"/>
    <w:rsid w:val="006C4AEC"/>
    <w:rsid w:val="006E4075"/>
    <w:rsid w:val="00701E07"/>
    <w:rsid w:val="00704A2E"/>
    <w:rsid w:val="007128AE"/>
    <w:rsid w:val="0073361D"/>
    <w:rsid w:val="00736AE9"/>
    <w:rsid w:val="00742BA7"/>
    <w:rsid w:val="007472C6"/>
    <w:rsid w:val="00751694"/>
    <w:rsid w:val="00754F87"/>
    <w:rsid w:val="00762744"/>
    <w:rsid w:val="00776764"/>
    <w:rsid w:val="00793139"/>
    <w:rsid w:val="007B12EB"/>
    <w:rsid w:val="007D1697"/>
    <w:rsid w:val="007D5FED"/>
    <w:rsid w:val="007E1B1C"/>
    <w:rsid w:val="007E25CA"/>
    <w:rsid w:val="007E39F7"/>
    <w:rsid w:val="007F6F3B"/>
    <w:rsid w:val="00812AAD"/>
    <w:rsid w:val="00817CF6"/>
    <w:rsid w:val="0082407B"/>
    <w:rsid w:val="0082752B"/>
    <w:rsid w:val="0083698A"/>
    <w:rsid w:val="00853385"/>
    <w:rsid w:val="00855F6E"/>
    <w:rsid w:val="00872B4B"/>
    <w:rsid w:val="008809F5"/>
    <w:rsid w:val="0089640B"/>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479F0"/>
    <w:rsid w:val="009631C8"/>
    <w:rsid w:val="00966BDF"/>
    <w:rsid w:val="00972E6D"/>
    <w:rsid w:val="009731F6"/>
    <w:rsid w:val="00987EA8"/>
    <w:rsid w:val="009A6DB0"/>
    <w:rsid w:val="009A7962"/>
    <w:rsid w:val="009B02A9"/>
    <w:rsid w:val="009B6DA6"/>
    <w:rsid w:val="009C72E0"/>
    <w:rsid w:val="009E2B7C"/>
    <w:rsid w:val="009E4658"/>
    <w:rsid w:val="009F0D87"/>
    <w:rsid w:val="009F4AE8"/>
    <w:rsid w:val="00A36549"/>
    <w:rsid w:val="00A375C7"/>
    <w:rsid w:val="00A42819"/>
    <w:rsid w:val="00A60C0E"/>
    <w:rsid w:val="00A66C3C"/>
    <w:rsid w:val="00A86D72"/>
    <w:rsid w:val="00A8709D"/>
    <w:rsid w:val="00AC513F"/>
    <w:rsid w:val="00AC57FC"/>
    <w:rsid w:val="00AD31DA"/>
    <w:rsid w:val="00AE3BD7"/>
    <w:rsid w:val="00AE3CAF"/>
    <w:rsid w:val="00AF122E"/>
    <w:rsid w:val="00B201AB"/>
    <w:rsid w:val="00B20A8E"/>
    <w:rsid w:val="00B22246"/>
    <w:rsid w:val="00B3627B"/>
    <w:rsid w:val="00B51E6F"/>
    <w:rsid w:val="00B547EE"/>
    <w:rsid w:val="00B61697"/>
    <w:rsid w:val="00B62EEC"/>
    <w:rsid w:val="00B7490F"/>
    <w:rsid w:val="00B8627C"/>
    <w:rsid w:val="00B87935"/>
    <w:rsid w:val="00B94399"/>
    <w:rsid w:val="00BA3BF8"/>
    <w:rsid w:val="00BA6B2A"/>
    <w:rsid w:val="00BB610A"/>
    <w:rsid w:val="00BC07A4"/>
    <w:rsid w:val="00BC420C"/>
    <w:rsid w:val="00BD01BC"/>
    <w:rsid w:val="00BD115F"/>
    <w:rsid w:val="00BD2BB6"/>
    <w:rsid w:val="00BD3CB1"/>
    <w:rsid w:val="00BE2CBE"/>
    <w:rsid w:val="00BF1298"/>
    <w:rsid w:val="00BF2C02"/>
    <w:rsid w:val="00BF650B"/>
    <w:rsid w:val="00C1422E"/>
    <w:rsid w:val="00C234BB"/>
    <w:rsid w:val="00C33E0C"/>
    <w:rsid w:val="00C51BFF"/>
    <w:rsid w:val="00C814D2"/>
    <w:rsid w:val="00C82125"/>
    <w:rsid w:val="00C85DA4"/>
    <w:rsid w:val="00C91A67"/>
    <w:rsid w:val="00C9740E"/>
    <w:rsid w:val="00CA04EA"/>
    <w:rsid w:val="00CA0E12"/>
    <w:rsid w:val="00CB4182"/>
    <w:rsid w:val="00CC66FE"/>
    <w:rsid w:val="00CF3B17"/>
    <w:rsid w:val="00D0631E"/>
    <w:rsid w:val="00D115D0"/>
    <w:rsid w:val="00D256F7"/>
    <w:rsid w:val="00D409C6"/>
    <w:rsid w:val="00D50847"/>
    <w:rsid w:val="00D51646"/>
    <w:rsid w:val="00D5379A"/>
    <w:rsid w:val="00D56ED5"/>
    <w:rsid w:val="00D61562"/>
    <w:rsid w:val="00D80D92"/>
    <w:rsid w:val="00D8779A"/>
    <w:rsid w:val="00DA600B"/>
    <w:rsid w:val="00DD4903"/>
    <w:rsid w:val="00E02889"/>
    <w:rsid w:val="00E20BA9"/>
    <w:rsid w:val="00E2416C"/>
    <w:rsid w:val="00E305F3"/>
    <w:rsid w:val="00E467F1"/>
    <w:rsid w:val="00E75EB9"/>
    <w:rsid w:val="00E81BA5"/>
    <w:rsid w:val="00E869AE"/>
    <w:rsid w:val="00E87AD0"/>
    <w:rsid w:val="00E97897"/>
    <w:rsid w:val="00EA7D91"/>
    <w:rsid w:val="00EB0927"/>
    <w:rsid w:val="00EB298B"/>
    <w:rsid w:val="00EB321A"/>
    <w:rsid w:val="00EB6A0B"/>
    <w:rsid w:val="00EC14E2"/>
    <w:rsid w:val="00EC4DD8"/>
    <w:rsid w:val="00EC79EE"/>
    <w:rsid w:val="00ED111E"/>
    <w:rsid w:val="00ED2BB4"/>
    <w:rsid w:val="00EE48F0"/>
    <w:rsid w:val="00F023F4"/>
    <w:rsid w:val="00F040B9"/>
    <w:rsid w:val="00F2641B"/>
    <w:rsid w:val="00F32C48"/>
    <w:rsid w:val="00F52A6D"/>
    <w:rsid w:val="00F54AD8"/>
    <w:rsid w:val="00F66634"/>
    <w:rsid w:val="00F83187"/>
    <w:rsid w:val="00FA7ECF"/>
    <w:rsid w:val="00FB1E64"/>
    <w:rsid w:val="00FB5C19"/>
    <w:rsid w:val="00FC379E"/>
    <w:rsid w:val="00FC4D9D"/>
    <w:rsid w:val="00FC6F3D"/>
    <w:rsid w:val="00FF654E"/>
    <w:rsid w:val="00FF76BD"/>
    <w:rsid w:val="031B1954"/>
    <w:rsid w:val="03F307AC"/>
    <w:rsid w:val="062578A4"/>
    <w:rsid w:val="0E747FBA"/>
    <w:rsid w:val="111C745A"/>
    <w:rsid w:val="15E53D14"/>
    <w:rsid w:val="17476A45"/>
    <w:rsid w:val="17917057"/>
    <w:rsid w:val="19257662"/>
    <w:rsid w:val="195A0741"/>
    <w:rsid w:val="19E71784"/>
    <w:rsid w:val="206A6A4A"/>
    <w:rsid w:val="21463A8C"/>
    <w:rsid w:val="217E40A5"/>
    <w:rsid w:val="23A421CD"/>
    <w:rsid w:val="24425A7B"/>
    <w:rsid w:val="270C4E87"/>
    <w:rsid w:val="27DC5F9F"/>
    <w:rsid w:val="28C41AEE"/>
    <w:rsid w:val="300A15EE"/>
    <w:rsid w:val="30F739C9"/>
    <w:rsid w:val="31104361"/>
    <w:rsid w:val="326231AA"/>
    <w:rsid w:val="36EB2F7C"/>
    <w:rsid w:val="3A9776F8"/>
    <w:rsid w:val="3FB47CD3"/>
    <w:rsid w:val="4B88791E"/>
    <w:rsid w:val="4C0A14D9"/>
    <w:rsid w:val="4CDF01BB"/>
    <w:rsid w:val="4E75228C"/>
    <w:rsid w:val="4EA04C24"/>
    <w:rsid w:val="554E7B4E"/>
    <w:rsid w:val="580D0C8B"/>
    <w:rsid w:val="5D4C51B4"/>
    <w:rsid w:val="5F5B58E4"/>
    <w:rsid w:val="64061022"/>
    <w:rsid w:val="69EA7225"/>
    <w:rsid w:val="6B4E6135"/>
    <w:rsid w:val="6D8266FB"/>
    <w:rsid w:val="6E6A2D2F"/>
    <w:rsid w:val="79A25F21"/>
    <w:rsid w:val="7A402A8C"/>
    <w:rsid w:val="7A544D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Body Text Indent 2"/>
    <w:basedOn w:val="1"/>
    <w:link w:val="16"/>
    <w:qFormat/>
    <w:uiPriority w:val="99"/>
    <w:pPr>
      <w:spacing w:after="120" w:line="480" w:lineRule="auto"/>
      <w:ind w:left="420" w:leftChars="200"/>
    </w:pPr>
    <w:rPr>
      <w:rFonts w:ascii="Calibri" w:hAnsi="Calibri"/>
      <w:kern w:val="0"/>
      <w:sz w:val="20"/>
    </w:rPr>
  </w:style>
  <w:style w:type="paragraph" w:styleId="5">
    <w:name w:val="Balloon Text"/>
    <w:basedOn w:val="1"/>
    <w:link w:val="14"/>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标题 1 Char"/>
    <w:basedOn w:val="10"/>
    <w:link w:val="3"/>
    <w:qFormat/>
    <w:locked/>
    <w:uiPriority w:val="99"/>
    <w:rPr>
      <w:rFonts w:ascii="宋体" w:hAnsi="宋体" w:eastAsia="宋体" w:cs="宋体"/>
      <w:b/>
      <w:bCs/>
      <w:kern w:val="36"/>
      <w:sz w:val="48"/>
      <w:szCs w:val="48"/>
    </w:rPr>
  </w:style>
  <w:style w:type="character" w:customStyle="1" w:styleId="12">
    <w:name w:val="页眉 Char"/>
    <w:basedOn w:val="10"/>
    <w:link w:val="7"/>
    <w:semiHidden/>
    <w:qFormat/>
    <w:locked/>
    <w:uiPriority w:val="99"/>
    <w:rPr>
      <w:rFonts w:cs="Times New Roman"/>
      <w:sz w:val="18"/>
      <w:szCs w:val="18"/>
    </w:rPr>
  </w:style>
  <w:style w:type="character" w:customStyle="1" w:styleId="13">
    <w:name w:val="页脚 Char"/>
    <w:basedOn w:val="10"/>
    <w:link w:val="6"/>
    <w:qFormat/>
    <w:locked/>
    <w:uiPriority w:val="99"/>
    <w:rPr>
      <w:rFonts w:cs="Times New Roman"/>
      <w:sz w:val="18"/>
      <w:szCs w:val="18"/>
    </w:rPr>
  </w:style>
  <w:style w:type="character" w:customStyle="1" w:styleId="14">
    <w:name w:val="批注框文本 Char"/>
    <w:basedOn w:val="10"/>
    <w:link w:val="5"/>
    <w:semiHidden/>
    <w:qFormat/>
    <w:locked/>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rFonts w:ascii="Calibri" w:hAnsi="Calibri"/>
      <w:szCs w:val="22"/>
    </w:rPr>
  </w:style>
  <w:style w:type="character" w:customStyle="1" w:styleId="16">
    <w:name w:val="正文文本缩进 2 Char1"/>
    <w:basedOn w:val="10"/>
    <w:link w:val="4"/>
    <w:qFormat/>
    <w:locked/>
    <w:uiPriority w:val="99"/>
    <w:rPr>
      <w:rFonts w:ascii="Calibri" w:hAnsi="Calibri" w:eastAsia="宋体"/>
      <w:sz w:val="24"/>
    </w:rPr>
  </w:style>
  <w:style w:type="character" w:customStyle="1" w:styleId="17">
    <w:name w:val="正文文本缩进 2 Char"/>
    <w:basedOn w:val="10"/>
    <w:semiHidden/>
    <w:qFormat/>
    <w:uiPriority w:val="99"/>
    <w:rPr>
      <w:rFonts w:ascii="Times New Roman" w:hAnsi="Times New Roman" w:eastAsia="宋体" w:cs="Times New Roman"/>
      <w:sz w:val="24"/>
      <w:szCs w:val="24"/>
    </w:rPr>
  </w:style>
  <w:style w:type="paragraph" w:customStyle="1" w:styleId="18">
    <w:name w:val="标准文本"/>
    <w:basedOn w:val="1"/>
    <w:qFormat/>
    <w:uiPriority w:val="0"/>
    <w:pPr>
      <w:widowControl/>
      <w:spacing w:line="360" w:lineRule="auto"/>
      <w:ind w:firstLine="200" w:firstLineChars="200"/>
      <w:jc w:val="left"/>
    </w:pPr>
    <w:rPr>
      <w:rFonts w:eastAsia="Times New Roman"/>
      <w:kern w:val="0"/>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3095</Words>
  <Characters>3366</Characters>
  <Lines>35</Lines>
  <Paragraphs>9</Paragraphs>
  <TotalTime>2</TotalTime>
  <ScaleCrop>false</ScaleCrop>
  <LinksUpToDate>false</LinksUpToDate>
  <CharactersWithSpaces>3521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2019-11-06T02:59:00Z</dcterms:created>
  <dc:creator>admin</dc:creator>
  <cp:lastModifiedBy>admin</cp:lastModifiedBy>
  <cp:lastPrinted>2019-11-06T02:59:00Z</cp:lastPrinted>
  <dcterms:modified xsi:type="dcterms:W3CDTF">2024-12-13T03:22:36Z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9C2B58CB44E549B2B9507764EB86AA6C</vt:lpwstr>
  </property>
</Properties>
</file>