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6"/>
          <w:szCs w:val="36"/>
        </w:rPr>
      </w:pPr>
      <w:r>
        <w:rPr>
          <w:rFonts w:hint="eastAsia" w:asciiTheme="majorEastAsia" w:hAnsiTheme="majorEastAsia" w:eastAsiaTheme="majorEastAsia"/>
          <w:b/>
          <w:spacing w:val="-20"/>
          <w:sz w:val="36"/>
          <w:szCs w:val="36"/>
        </w:rPr>
        <w:t>湖州师范学院医学院基础医学实验中心陈列标本技术服务项目招标文件</w:t>
      </w:r>
    </w:p>
    <w:p>
      <w:pPr>
        <w:ind w:firstLine="472" w:firstLineChars="196"/>
        <w:jc w:val="left"/>
        <w:rPr>
          <w:rFonts w:ascii="仿宋" w:hAnsi="仿宋" w:eastAsia="仿宋" w:cs="Times New Roman"/>
          <w:b/>
          <w:sz w:val="24"/>
          <w:szCs w:val="24"/>
        </w:rPr>
      </w:pPr>
      <w:r>
        <w:rPr>
          <w:rFonts w:hint="eastAsia" w:ascii="仿宋" w:hAnsi="仿宋" w:eastAsia="仿宋" w:cs="Times New Roman"/>
          <w:b/>
          <w:sz w:val="24"/>
          <w:szCs w:val="24"/>
        </w:rPr>
        <w:t>一、采购项目名称及货物清单及要求：</w:t>
      </w:r>
    </w:p>
    <w:p>
      <w:pPr>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1.项目名称：湖州师范学院医学院基础医学实验中心陈列标本技术服务项目</w:t>
      </w:r>
    </w:p>
    <w:p>
      <w:pPr>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2.采购项目编号：</w:t>
      </w:r>
      <w:r>
        <w:rPr>
          <w:rFonts w:hint="eastAsia" w:ascii="仿宋" w:hAnsi="仿宋" w:eastAsia="仿宋"/>
          <w:sz w:val="24"/>
          <w:szCs w:val="24"/>
        </w:rPr>
        <w:t>XZ2021-134</w:t>
      </w:r>
    </w:p>
    <w:p>
      <w:pPr>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3.采购组织类型：分散采购自行组织</w:t>
      </w:r>
    </w:p>
    <w:p>
      <w:pPr>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4.采购方式：校内</w:t>
      </w:r>
      <w:r>
        <w:rPr>
          <w:rFonts w:hint="eastAsia" w:ascii="仿宋" w:hAnsi="仿宋" w:eastAsia="仿宋"/>
          <w:sz w:val="24"/>
          <w:szCs w:val="24"/>
        </w:rPr>
        <w:t>公开招标</w:t>
      </w:r>
    </w:p>
    <w:p>
      <w:pPr>
        <w:ind w:firstLine="480" w:firstLineChars="200"/>
        <w:rPr>
          <w:rFonts w:ascii="仿宋" w:hAnsi="仿宋" w:eastAsia="仿宋"/>
          <w:sz w:val="24"/>
        </w:rPr>
      </w:pPr>
      <w:r>
        <w:rPr>
          <w:rFonts w:hint="eastAsia" w:ascii="仿宋" w:hAnsi="仿宋" w:eastAsia="仿宋" w:cs="Times New Roman"/>
          <w:sz w:val="24"/>
          <w:szCs w:val="24"/>
        </w:rPr>
        <w:t>5.采购预算：</w:t>
      </w:r>
      <w:r>
        <w:rPr>
          <w:rFonts w:hint="eastAsia" w:ascii="仿宋" w:hAnsi="仿宋" w:eastAsia="仿宋"/>
          <w:sz w:val="24"/>
        </w:rPr>
        <w:t>人民币肆拾玖万壹仟伍佰元（￥491500元）</w:t>
      </w:r>
    </w:p>
    <w:p>
      <w:pPr>
        <w:ind w:firstLine="480" w:firstLineChars="200"/>
        <w:jc w:val="left"/>
        <w:rPr>
          <w:rFonts w:ascii="仿宋" w:hAnsi="仿宋" w:eastAsia="仿宋"/>
          <w:sz w:val="24"/>
        </w:rPr>
      </w:pPr>
      <w:r>
        <w:rPr>
          <w:rFonts w:hint="eastAsia" w:ascii="仿宋" w:hAnsi="仿宋" w:eastAsia="仿宋" w:cs="Times New Roman"/>
          <w:sz w:val="24"/>
          <w:szCs w:val="24"/>
        </w:rPr>
        <w:t>6.采购需求及</w:t>
      </w:r>
      <w:r>
        <w:rPr>
          <w:rFonts w:hint="eastAsia" w:ascii="仿宋" w:hAnsi="仿宋" w:eastAsia="仿宋"/>
          <w:sz w:val="24"/>
        </w:rPr>
        <w:t>采购清单：</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6.1采购需求</w:t>
      </w:r>
    </w:p>
    <w:p>
      <w:pPr>
        <w:ind w:firstLine="482" w:firstLineChars="200"/>
        <w:contextualSpacing/>
        <w:jc w:val="left"/>
        <w:rPr>
          <w:rFonts w:ascii="仿宋" w:hAnsi="仿宋" w:eastAsia="仿宋" w:cs="Times New Roman"/>
          <w:sz w:val="24"/>
        </w:rPr>
      </w:pPr>
      <w:r>
        <w:rPr>
          <w:rFonts w:hint="eastAsia" w:ascii="仿宋" w:hAnsi="仿宋" w:eastAsia="仿宋" w:cs="Times New Roman"/>
          <w:b/>
          <w:sz w:val="24"/>
          <w:szCs w:val="24"/>
        </w:rPr>
        <w:t>▲</w:t>
      </w:r>
      <w:r>
        <w:rPr>
          <w:rFonts w:hint="eastAsia" w:ascii="仿宋" w:hAnsi="仿宋" w:eastAsia="仿宋" w:cs="Times New Roman"/>
          <w:sz w:val="24"/>
        </w:rPr>
        <w:t>6.1.1要求依据人民卫生出版社出版:丁文龙、刘学政主编«系统解剖学»第9版；郭光文、王序主编«人体解剖彩色图谱»第2版；崔慧先、李瑞锡主编«局部解剖学»第9版制作标本。</w:t>
      </w:r>
    </w:p>
    <w:p>
      <w:pPr>
        <w:ind w:firstLine="482" w:firstLineChars="200"/>
        <w:contextualSpacing/>
        <w:jc w:val="left"/>
        <w:rPr>
          <w:rFonts w:ascii="仿宋" w:hAnsi="仿宋" w:eastAsia="仿宋" w:cs="Times New Roman"/>
          <w:sz w:val="24"/>
        </w:rPr>
      </w:pPr>
      <w:r>
        <w:rPr>
          <w:rFonts w:hint="eastAsia" w:ascii="仿宋" w:hAnsi="仿宋" w:eastAsia="仿宋" w:cs="Times New Roman"/>
          <w:b/>
          <w:sz w:val="24"/>
          <w:szCs w:val="24"/>
        </w:rPr>
        <w:t>▲</w:t>
      </w:r>
      <w:r>
        <w:rPr>
          <w:rFonts w:hint="eastAsia" w:ascii="仿宋" w:hAnsi="仿宋" w:eastAsia="仿宋" w:cs="Times New Roman"/>
          <w:sz w:val="24"/>
        </w:rPr>
        <w:t>6.1.2要求标本来源正规，出具市级（含市级）以上红十字会材料来源证明（含申报函和批复函，原件备查）。投标供应商应提供标本捐赠承诺书，成交后，标本由成交供应商捐赠给采购人。</w:t>
      </w:r>
    </w:p>
    <w:p>
      <w:pPr>
        <w:ind w:firstLine="482" w:firstLineChars="200"/>
        <w:contextualSpacing/>
        <w:jc w:val="left"/>
        <w:rPr>
          <w:rFonts w:hint="eastAsia" w:ascii="仿宋" w:hAnsi="仿宋" w:eastAsia="仿宋" w:cs="Times New Roman"/>
          <w:sz w:val="24"/>
        </w:rPr>
      </w:pPr>
      <w:r>
        <w:rPr>
          <w:rFonts w:hint="eastAsia" w:ascii="仿宋" w:hAnsi="仿宋" w:eastAsia="仿宋" w:cs="Times New Roman"/>
          <w:b/>
          <w:sz w:val="24"/>
          <w:szCs w:val="24"/>
        </w:rPr>
        <w:t>▲</w:t>
      </w:r>
      <w:r>
        <w:rPr>
          <w:rFonts w:hint="eastAsia" w:ascii="仿宋" w:hAnsi="仿宋" w:eastAsia="仿宋" w:cs="Times New Roman"/>
          <w:sz w:val="24"/>
        </w:rPr>
        <w:t>6.1.3要求标本容器为进口亚克力材料（3MM-8MM不等，根据标本具体要求确定），标本装入前以蓝色背景拍照，版权归学校。标本盒内保存液为纯净水加甲醛，标本盒正面左上角配备二维码标识牌，其内容与标本一致</w:t>
      </w:r>
      <w:r>
        <w:rPr>
          <w:rFonts w:hint="eastAsia" w:ascii="仿宋" w:hAnsi="仿宋" w:eastAsia="仿宋" w:cs="Times New Roman"/>
          <w:sz w:val="24"/>
          <w:lang w:val="en-US" w:eastAsia="zh-CN"/>
        </w:rPr>
        <w:t>；</w:t>
      </w:r>
      <w:r>
        <w:rPr>
          <w:rFonts w:hint="eastAsia" w:ascii="仿宋" w:hAnsi="仿宋" w:eastAsia="仿宋" w:cs="Times New Roman"/>
          <w:color w:val="0000FF"/>
          <w:sz w:val="24"/>
        </w:rPr>
        <w:t>投标时需携带如下样本：普通标本(面神经)一件；铸型标本（手部动脉）一件</w:t>
      </w:r>
      <w:r>
        <w:rPr>
          <w:rFonts w:hint="eastAsia" w:ascii="仿宋" w:hAnsi="仿宋" w:eastAsia="仿宋" w:cs="Times New Roman"/>
          <w:color w:val="0000FF"/>
          <w:sz w:val="24"/>
          <w:lang w:eastAsia="zh-CN"/>
        </w:rPr>
        <w:t>。</w:t>
      </w:r>
      <w:r>
        <w:rPr>
          <w:rFonts w:hint="eastAsia" w:ascii="仿宋" w:hAnsi="仿宋" w:eastAsia="仿宋" w:cs="Times New Roman"/>
          <w:sz w:val="24"/>
        </w:rPr>
        <w:t xml:space="preserve"> </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6.2采购清单（见附件2）</w:t>
      </w:r>
    </w:p>
    <w:p>
      <w:pPr>
        <w:ind w:firstLine="482" w:firstLineChars="200"/>
        <w:jc w:val="left"/>
        <w:rPr>
          <w:rFonts w:ascii="仿宋" w:hAnsi="仿宋" w:eastAsia="仿宋" w:cs="Times New Roman"/>
          <w:b/>
          <w:sz w:val="24"/>
          <w:szCs w:val="24"/>
        </w:rPr>
      </w:pPr>
      <w:r>
        <w:rPr>
          <w:rFonts w:hint="eastAsia" w:ascii="仿宋" w:hAnsi="仿宋" w:eastAsia="仿宋" w:cs="Times New Roman"/>
          <w:b/>
          <w:sz w:val="24"/>
          <w:szCs w:val="24"/>
        </w:rPr>
        <w:t>注1：</w:t>
      </w:r>
      <w:r>
        <w:rPr>
          <w:rFonts w:hint="eastAsia" w:ascii="仿宋" w:hAnsi="仿宋" w:eastAsia="仿宋" w:cs="Times New Roman"/>
          <w:sz w:val="24"/>
          <w:szCs w:val="24"/>
        </w:rPr>
        <w:t>▲</w:t>
      </w:r>
      <w:r>
        <w:rPr>
          <w:rFonts w:hint="eastAsia" w:ascii="仿宋" w:hAnsi="仿宋" w:eastAsia="仿宋" w:cs="Times New Roman"/>
          <w:b/>
          <w:sz w:val="24"/>
          <w:szCs w:val="24"/>
        </w:rPr>
        <w:t>采购预算为最高限价，投标人报价超出采购预算为无效报价。</w:t>
      </w:r>
    </w:p>
    <w:p>
      <w:pPr>
        <w:ind w:firstLine="482" w:firstLineChars="200"/>
        <w:jc w:val="left"/>
        <w:rPr>
          <w:rFonts w:ascii="仿宋" w:hAnsi="仿宋" w:eastAsia="仿宋"/>
          <w:b/>
          <w:sz w:val="24"/>
          <w:szCs w:val="24"/>
        </w:rPr>
      </w:pPr>
      <w:r>
        <w:rPr>
          <w:rFonts w:hint="eastAsia" w:ascii="仿宋" w:hAnsi="仿宋" w:eastAsia="仿宋"/>
          <w:b/>
          <w:sz w:val="24"/>
          <w:szCs w:val="24"/>
        </w:rPr>
        <w:t>注2：本项目采购预算包含货物、安全、运输、人工费、税金等所涉及本项目的一切费用。</w:t>
      </w:r>
    </w:p>
    <w:p>
      <w:pPr>
        <w:ind w:firstLine="482" w:firstLineChars="200"/>
        <w:jc w:val="left"/>
        <w:rPr>
          <w:rFonts w:ascii="仿宋" w:hAnsi="仿宋" w:eastAsia="仿宋"/>
          <w:b/>
          <w:sz w:val="24"/>
          <w:szCs w:val="24"/>
        </w:rPr>
      </w:pPr>
      <w:r>
        <w:rPr>
          <w:rFonts w:hint="eastAsia" w:ascii="仿宋" w:hAnsi="仿宋" w:eastAsia="仿宋"/>
          <w:b/>
          <w:sz w:val="24"/>
          <w:szCs w:val="24"/>
        </w:rPr>
        <w:t>注3：标注</w:t>
      </w:r>
      <w:r>
        <w:rPr>
          <w:rFonts w:hint="eastAsia" w:ascii="仿宋" w:hAnsi="仿宋" w:eastAsia="仿宋" w:cs="Times New Roman"/>
          <w:b/>
          <w:sz w:val="24"/>
          <w:szCs w:val="24"/>
        </w:rPr>
        <w:t>▲</w:t>
      </w:r>
      <w:r>
        <w:rPr>
          <w:rFonts w:hint="eastAsia" w:ascii="仿宋" w:hAnsi="仿宋" w:eastAsia="仿宋"/>
          <w:b/>
          <w:sz w:val="24"/>
          <w:szCs w:val="24"/>
        </w:rPr>
        <w:t>的内容必须实质性响应，负偏离作无效标处理。</w:t>
      </w:r>
    </w:p>
    <w:p>
      <w:pPr>
        <w:ind w:firstLine="472" w:firstLineChars="196"/>
        <w:jc w:val="left"/>
        <w:rPr>
          <w:rFonts w:ascii="仿宋" w:hAnsi="仿宋" w:eastAsia="仿宋"/>
          <w:b/>
          <w:sz w:val="24"/>
          <w:szCs w:val="24"/>
        </w:rPr>
      </w:pPr>
      <w:r>
        <w:rPr>
          <w:rFonts w:hint="eastAsia" w:ascii="仿宋" w:hAnsi="仿宋" w:eastAsia="仿宋"/>
          <w:b/>
          <w:sz w:val="24"/>
          <w:szCs w:val="24"/>
        </w:rPr>
        <w:t>二、投标文件要求</w:t>
      </w:r>
    </w:p>
    <w:p>
      <w:pPr>
        <w:ind w:firstLine="480" w:firstLineChars="200"/>
        <w:jc w:val="left"/>
        <w:rPr>
          <w:rFonts w:ascii="仿宋" w:hAnsi="仿宋" w:eastAsia="仿宋"/>
          <w:sz w:val="24"/>
          <w:szCs w:val="24"/>
        </w:rPr>
      </w:pPr>
      <w:r>
        <w:rPr>
          <w:rFonts w:hint="eastAsia" w:ascii="仿宋" w:hAnsi="仿宋" w:eastAsia="仿宋"/>
          <w:sz w:val="24"/>
          <w:szCs w:val="24"/>
        </w:rPr>
        <w:t>投标人的投标文件中应包含以下内容</w:t>
      </w:r>
      <w:r>
        <w:rPr>
          <w:rFonts w:hint="eastAsia" w:ascii="仿宋" w:hAnsi="仿宋" w:eastAsia="仿宋"/>
          <w:sz w:val="24"/>
        </w:rPr>
        <w:t>（投标文件密封，一式两份，一正一副，胶装成册。所有证件均须真实、有效，复印件均须加盖公章，缺少以下任意一项内容即作无效标处理）</w:t>
      </w:r>
      <w:r>
        <w:rPr>
          <w:rFonts w:hint="eastAsia" w:ascii="仿宋" w:hAnsi="仿宋" w:eastAsia="仿宋"/>
          <w:sz w:val="24"/>
          <w:szCs w:val="24"/>
        </w:rPr>
        <w:t>：</w:t>
      </w:r>
    </w:p>
    <w:p>
      <w:pPr>
        <w:ind w:firstLine="480" w:firstLineChars="200"/>
        <w:jc w:val="left"/>
        <w:rPr>
          <w:rFonts w:ascii="仿宋" w:hAnsi="仿宋" w:eastAsia="仿宋"/>
          <w:b/>
          <w:sz w:val="24"/>
          <w:szCs w:val="24"/>
        </w:rPr>
      </w:pPr>
      <w:r>
        <w:rPr>
          <w:rFonts w:hint="eastAsia" w:ascii="仿宋" w:hAnsi="仿宋" w:eastAsia="仿宋"/>
          <w:sz w:val="24"/>
          <w:szCs w:val="24"/>
        </w:rPr>
        <w:t>1.投标报价清单(含货物、安全、运输、人工费、税金等所涉及本项目的一切费用。投标报价高于采购预算的，则该报价为无效报价。报价以人民币计，并以大写为准)。</w:t>
      </w:r>
      <w:r>
        <w:rPr>
          <w:rFonts w:hint="eastAsia" w:ascii="仿宋" w:hAnsi="仿宋" w:eastAsia="仿宋"/>
          <w:b/>
          <w:sz w:val="24"/>
          <w:szCs w:val="24"/>
        </w:rPr>
        <w:t>投标报价清单必须单独密封，否则作无效标处理。</w:t>
      </w:r>
    </w:p>
    <w:p>
      <w:pPr>
        <w:ind w:firstLine="480" w:firstLineChars="200"/>
        <w:jc w:val="left"/>
        <w:rPr>
          <w:rFonts w:ascii="仿宋" w:hAnsi="仿宋" w:eastAsia="仿宋"/>
          <w:b/>
          <w:sz w:val="24"/>
        </w:rPr>
      </w:pPr>
      <w:r>
        <w:rPr>
          <w:rFonts w:hint="eastAsia" w:ascii="仿宋" w:hAnsi="仿宋" w:eastAsia="仿宋"/>
          <w:sz w:val="24"/>
        </w:rPr>
        <w:t>2.</w:t>
      </w:r>
      <w:r>
        <w:rPr>
          <w:rFonts w:hint="eastAsia" w:ascii="仿宋" w:hAnsi="仿宋" w:eastAsia="仿宋"/>
          <w:sz w:val="24"/>
          <w:szCs w:val="24"/>
        </w:rPr>
        <w:t>货物情况说明彩页；</w:t>
      </w:r>
    </w:p>
    <w:p>
      <w:pPr>
        <w:ind w:firstLine="480" w:firstLineChars="200"/>
        <w:jc w:val="left"/>
        <w:rPr>
          <w:rFonts w:ascii="仿宋" w:hAnsi="仿宋" w:eastAsia="仿宋"/>
          <w:sz w:val="24"/>
        </w:rPr>
      </w:pPr>
      <w:r>
        <w:rPr>
          <w:rFonts w:hint="eastAsia" w:ascii="仿宋" w:hAnsi="仿宋" w:eastAsia="仿宋"/>
          <w:sz w:val="24"/>
        </w:rPr>
        <w:t>3.有效的五证合一营业执照副本复印件；</w:t>
      </w:r>
    </w:p>
    <w:p>
      <w:pPr>
        <w:ind w:firstLine="480" w:firstLineChars="200"/>
        <w:jc w:val="left"/>
        <w:rPr>
          <w:rFonts w:ascii="仿宋" w:hAnsi="仿宋" w:eastAsia="仿宋"/>
          <w:sz w:val="24"/>
          <w:szCs w:val="24"/>
        </w:rPr>
      </w:pPr>
      <w:r>
        <w:rPr>
          <w:rFonts w:hint="eastAsia" w:ascii="仿宋" w:hAnsi="仿宋" w:eastAsia="仿宋" w:cs="仿宋_GB2312"/>
          <w:sz w:val="24"/>
        </w:rPr>
        <w:t>4.投标人开户银行、户名、账号；</w:t>
      </w:r>
    </w:p>
    <w:p>
      <w:pPr>
        <w:ind w:firstLine="480" w:firstLineChars="200"/>
        <w:jc w:val="left"/>
        <w:rPr>
          <w:rFonts w:ascii="仿宋" w:hAnsi="仿宋" w:eastAsia="仿宋"/>
          <w:sz w:val="24"/>
          <w:szCs w:val="24"/>
        </w:rPr>
      </w:pPr>
      <w:r>
        <w:rPr>
          <w:rFonts w:hint="eastAsia" w:ascii="仿宋" w:hAnsi="仿宋" w:eastAsia="仿宋"/>
          <w:sz w:val="24"/>
          <w:szCs w:val="24"/>
        </w:rPr>
        <w:t>5.投标代表身份证复印件；如非法定代表人投标，另提供法定代表人授权委托书原件、法定代表人身份证复印件；投标代表近1个月社保证明材料；</w:t>
      </w:r>
    </w:p>
    <w:p>
      <w:pPr>
        <w:ind w:firstLine="480" w:firstLineChars="200"/>
        <w:jc w:val="left"/>
        <w:rPr>
          <w:rFonts w:ascii="仿宋" w:hAnsi="仿宋" w:eastAsia="仿宋"/>
          <w:sz w:val="24"/>
          <w:szCs w:val="24"/>
        </w:rPr>
      </w:pPr>
      <w:r>
        <w:rPr>
          <w:rFonts w:hint="eastAsia" w:ascii="仿宋" w:hAnsi="仿宋" w:eastAsia="仿宋"/>
          <w:sz w:val="24"/>
        </w:rPr>
        <w:t>6.投标货物彩页及相关说明；（应注明：不偏离、正偏离、负偏离）；</w:t>
      </w:r>
    </w:p>
    <w:p>
      <w:pPr>
        <w:ind w:firstLine="480" w:firstLineChars="200"/>
        <w:jc w:val="left"/>
        <w:rPr>
          <w:rFonts w:ascii="仿宋" w:hAnsi="仿宋" w:eastAsia="仿宋"/>
          <w:sz w:val="24"/>
          <w:szCs w:val="24"/>
        </w:rPr>
      </w:pPr>
      <w:r>
        <w:rPr>
          <w:rFonts w:hint="eastAsia" w:ascii="仿宋" w:hAnsi="仿宋" w:eastAsia="仿宋"/>
          <w:sz w:val="24"/>
          <w:szCs w:val="24"/>
        </w:rPr>
        <w:t>7.投标人服务方案及承诺</w:t>
      </w:r>
      <w:r>
        <w:rPr>
          <w:rFonts w:hint="eastAsia" w:ascii="仿宋" w:hAnsi="仿宋" w:eastAsia="仿宋"/>
          <w:bCs/>
          <w:sz w:val="24"/>
        </w:rPr>
        <w:t>；</w:t>
      </w:r>
    </w:p>
    <w:p>
      <w:pPr>
        <w:ind w:firstLine="480" w:firstLineChars="200"/>
        <w:jc w:val="left"/>
        <w:rPr>
          <w:rFonts w:ascii="仿宋" w:hAnsi="仿宋" w:eastAsia="仿宋"/>
          <w:sz w:val="24"/>
          <w:szCs w:val="24"/>
        </w:rPr>
      </w:pPr>
      <w:r>
        <w:rPr>
          <w:rFonts w:hint="eastAsia" w:ascii="仿宋" w:hAnsi="仿宋" w:eastAsia="仿宋"/>
          <w:sz w:val="24"/>
          <w:szCs w:val="24"/>
        </w:rPr>
        <w:t>8.投标人技术方案及实施方案；</w:t>
      </w:r>
    </w:p>
    <w:p>
      <w:pPr>
        <w:ind w:firstLine="480" w:firstLineChars="200"/>
        <w:jc w:val="left"/>
        <w:rPr>
          <w:rFonts w:ascii="仿宋" w:hAnsi="仿宋" w:eastAsia="仿宋"/>
          <w:sz w:val="24"/>
          <w:szCs w:val="24"/>
        </w:rPr>
      </w:pPr>
      <w:r>
        <w:rPr>
          <w:rFonts w:hint="eastAsia" w:ascii="仿宋" w:hAnsi="仿宋" w:eastAsia="仿宋"/>
          <w:sz w:val="24"/>
          <w:szCs w:val="24"/>
        </w:rPr>
        <w:t>9.投标人项目团队名单；</w:t>
      </w:r>
    </w:p>
    <w:p>
      <w:pPr>
        <w:ind w:firstLine="480" w:firstLineChars="200"/>
        <w:jc w:val="left"/>
        <w:rPr>
          <w:rFonts w:ascii="仿宋" w:hAnsi="仿宋" w:eastAsia="仿宋"/>
          <w:sz w:val="24"/>
          <w:szCs w:val="24"/>
        </w:rPr>
      </w:pPr>
      <w:r>
        <w:rPr>
          <w:rFonts w:hint="eastAsia" w:ascii="仿宋" w:hAnsi="仿宋" w:eastAsia="仿宋"/>
          <w:sz w:val="24"/>
          <w:szCs w:val="24"/>
        </w:rPr>
        <w:t>10.投标人</w:t>
      </w:r>
      <w:r>
        <w:rPr>
          <w:rFonts w:hint="eastAsia" w:ascii="仿宋" w:hAnsi="仿宋" w:eastAsia="仿宋"/>
          <w:sz w:val="24"/>
        </w:rPr>
        <w:t>2018年1月1日至今的</w:t>
      </w:r>
      <w:r>
        <w:rPr>
          <w:rFonts w:hint="eastAsia" w:ascii="仿宋" w:hAnsi="仿宋" w:eastAsia="仿宋"/>
          <w:bCs/>
          <w:sz w:val="24"/>
        </w:rPr>
        <w:t>同类项目业绩证明材料（业绩汇总表、合同复印件）</w:t>
      </w:r>
      <w:r>
        <w:rPr>
          <w:rFonts w:hint="eastAsia" w:ascii="仿宋" w:hAnsi="仿宋" w:eastAsia="仿宋"/>
          <w:sz w:val="24"/>
        </w:rPr>
        <w:t>；</w:t>
      </w:r>
    </w:p>
    <w:p>
      <w:pPr>
        <w:ind w:firstLine="480" w:firstLineChars="200"/>
        <w:jc w:val="left"/>
        <w:rPr>
          <w:rFonts w:ascii="仿宋" w:hAnsi="仿宋" w:eastAsia="仿宋"/>
          <w:sz w:val="24"/>
          <w:szCs w:val="24"/>
        </w:rPr>
      </w:pPr>
      <w:r>
        <w:rPr>
          <w:rFonts w:hint="eastAsia" w:ascii="仿宋" w:hAnsi="仿宋" w:eastAsia="仿宋"/>
          <w:sz w:val="24"/>
          <w:szCs w:val="24"/>
        </w:rPr>
        <w:t>11.其他相关证明材料</w:t>
      </w:r>
      <w:r>
        <w:rPr>
          <w:rFonts w:hint="eastAsia" w:ascii="仿宋" w:hAnsi="仿宋" w:eastAsia="仿宋" w:cs="仿宋_GB2312"/>
          <w:sz w:val="24"/>
        </w:rPr>
        <w:t>（</w:t>
      </w:r>
      <w:r>
        <w:rPr>
          <w:rFonts w:hint="eastAsia" w:ascii="仿宋" w:hAnsi="仿宋" w:eastAsia="仿宋"/>
          <w:sz w:val="24"/>
        </w:rPr>
        <w:t>采购文件要求提供</w:t>
      </w:r>
      <w:r>
        <w:rPr>
          <w:rFonts w:hint="eastAsia" w:ascii="仿宋" w:hAnsi="仿宋" w:eastAsia="仿宋" w:cs="仿宋_GB2312"/>
          <w:sz w:val="24"/>
        </w:rPr>
        <w:t>的证明材料、投标人认为需要提交的材料等）</w:t>
      </w:r>
    </w:p>
    <w:p>
      <w:pPr>
        <w:ind w:firstLine="480" w:firstLineChars="200"/>
        <w:jc w:val="left"/>
        <w:rPr>
          <w:rFonts w:ascii="仿宋" w:hAnsi="仿宋" w:eastAsia="仿宋"/>
          <w:sz w:val="24"/>
        </w:rPr>
      </w:pPr>
      <w:r>
        <w:rPr>
          <w:rFonts w:hint="eastAsia" w:ascii="仿宋" w:hAnsi="仿宋" w:eastAsia="仿宋"/>
          <w:sz w:val="24"/>
        </w:rPr>
        <w:t>12.提供自采购公告发布之日起至开标截止时间止的“信用中国”网站（www.creditchina.gov.cn）、中国政府采购网（www.ccgp.gov.cn）、</w:t>
      </w:r>
      <w:r>
        <w:rPr>
          <w:rFonts w:hint="eastAsia" w:ascii="仿宋" w:hAnsi="仿宋" w:eastAsia="仿宋" w:cs="仿宋_GB2312"/>
          <w:sz w:val="24"/>
        </w:rPr>
        <w:t>“浙江政府采购网”（www.zjzfcg.gov.cn）</w:t>
      </w:r>
      <w:r>
        <w:rPr>
          <w:rFonts w:hint="eastAsia" w:ascii="仿宋" w:hAnsi="仿宋" w:eastAsia="仿宋"/>
          <w:sz w:val="24"/>
        </w:rPr>
        <w:t>投标人信用查询网页截图（以开标当日采购人核实的查询结果为准）。（提供任何2个查询网页截图即可）</w:t>
      </w:r>
    </w:p>
    <w:p>
      <w:pPr>
        <w:ind w:firstLine="480" w:firstLineChars="200"/>
        <w:rPr>
          <w:rFonts w:ascii="仿宋" w:hAnsi="仿宋" w:eastAsia="仿宋" w:cs="仿宋_GB2312"/>
          <w:sz w:val="24"/>
        </w:rPr>
      </w:pPr>
      <w:r>
        <w:rPr>
          <w:rFonts w:hint="eastAsia" w:ascii="仿宋" w:hAnsi="仿宋" w:eastAsia="仿宋"/>
          <w:sz w:val="24"/>
        </w:rPr>
        <w:t>13.提供投标人未在行政处罚期内和未被列入经营异常名录的查询网页截图（国家企业信用信息公示系统：</w:t>
      </w:r>
      <w:r>
        <w:rPr>
          <w:rFonts w:hint="eastAsia" w:ascii="仿宋" w:hAnsi="仿宋" w:eastAsia="仿宋" w:cs="仿宋_GB2312"/>
          <w:sz w:val="24"/>
        </w:rPr>
        <w:t>www.gsxt.gov.cn</w:t>
      </w:r>
      <w:r>
        <w:rPr>
          <w:rFonts w:hint="eastAsia" w:ascii="仿宋" w:hAnsi="仿宋" w:eastAsia="仿宋"/>
          <w:sz w:val="24"/>
        </w:rPr>
        <w:t>）。</w:t>
      </w:r>
    </w:p>
    <w:p>
      <w:pPr>
        <w:ind w:firstLine="472" w:firstLineChars="196"/>
        <w:jc w:val="left"/>
        <w:rPr>
          <w:rFonts w:ascii="仿宋" w:hAnsi="仿宋" w:eastAsia="仿宋"/>
          <w:b/>
          <w:sz w:val="24"/>
          <w:szCs w:val="24"/>
        </w:rPr>
      </w:pPr>
      <w:r>
        <w:rPr>
          <w:rFonts w:hint="eastAsia" w:ascii="仿宋" w:hAnsi="仿宋" w:eastAsia="仿宋"/>
          <w:b/>
          <w:sz w:val="24"/>
          <w:szCs w:val="24"/>
        </w:rPr>
        <w:t>三、投标文件递交及开标时间、地点</w:t>
      </w:r>
    </w:p>
    <w:p>
      <w:pPr>
        <w:ind w:firstLine="480" w:firstLineChars="200"/>
        <w:jc w:val="left"/>
        <w:rPr>
          <w:rFonts w:ascii="仿宋" w:hAnsi="仿宋" w:eastAsia="仿宋"/>
          <w:sz w:val="24"/>
          <w:szCs w:val="24"/>
        </w:rPr>
      </w:pPr>
      <w:r>
        <w:rPr>
          <w:rFonts w:hint="eastAsia" w:ascii="仿宋" w:hAnsi="仿宋" w:eastAsia="仿宋"/>
          <w:sz w:val="24"/>
          <w:szCs w:val="24"/>
        </w:rPr>
        <w:t>1.开标时间：2021年1</w:t>
      </w:r>
      <w:r>
        <w:rPr>
          <w:rFonts w:hint="eastAsia" w:ascii="仿宋" w:hAnsi="仿宋" w:eastAsia="仿宋"/>
          <w:sz w:val="24"/>
          <w:szCs w:val="24"/>
          <w:lang w:val="en-US" w:eastAsia="zh-CN"/>
        </w:rPr>
        <w:t>2</w:t>
      </w:r>
      <w:r>
        <w:rPr>
          <w:rFonts w:hint="eastAsia" w:ascii="仿宋" w:hAnsi="仿宋" w:eastAsia="仿宋"/>
          <w:sz w:val="24"/>
          <w:szCs w:val="24"/>
        </w:rPr>
        <w:t>月</w:t>
      </w:r>
      <w:r>
        <w:rPr>
          <w:rFonts w:hint="eastAsia" w:ascii="仿宋" w:hAnsi="仿宋" w:eastAsia="仿宋"/>
          <w:sz w:val="24"/>
          <w:szCs w:val="24"/>
          <w:lang w:val="en-US" w:eastAsia="zh-CN"/>
        </w:rPr>
        <w:t>6</w:t>
      </w:r>
      <w:bookmarkStart w:id="0" w:name="_GoBack"/>
      <w:bookmarkEnd w:id="0"/>
      <w:r>
        <w:rPr>
          <w:rFonts w:hint="eastAsia" w:ascii="仿宋" w:hAnsi="仿宋" w:eastAsia="仿宋"/>
          <w:sz w:val="24"/>
          <w:szCs w:val="24"/>
        </w:rPr>
        <w:t>日下午14：30（投标人不参加开标会议或迟到视为自动放弃）；</w:t>
      </w:r>
    </w:p>
    <w:p>
      <w:pPr>
        <w:ind w:firstLine="480" w:firstLineChars="200"/>
        <w:jc w:val="left"/>
        <w:rPr>
          <w:rFonts w:ascii="仿宋" w:hAnsi="仿宋" w:eastAsia="仿宋"/>
          <w:sz w:val="24"/>
          <w:szCs w:val="24"/>
        </w:rPr>
      </w:pPr>
      <w:r>
        <w:rPr>
          <w:rFonts w:hint="eastAsia" w:ascii="仿宋" w:hAnsi="仿宋" w:eastAsia="仿宋"/>
          <w:sz w:val="24"/>
          <w:szCs w:val="24"/>
        </w:rPr>
        <w:t>2.开标地点：湖州市二环东路759号湖州师范学院东校区明达楼202室；</w:t>
      </w:r>
    </w:p>
    <w:p>
      <w:pPr>
        <w:ind w:firstLine="480" w:firstLineChars="200"/>
        <w:jc w:val="left"/>
        <w:rPr>
          <w:rFonts w:ascii="仿宋" w:hAnsi="仿宋" w:eastAsia="仿宋"/>
          <w:sz w:val="24"/>
          <w:szCs w:val="24"/>
        </w:rPr>
      </w:pPr>
      <w:r>
        <w:rPr>
          <w:rFonts w:hint="eastAsia" w:ascii="仿宋" w:hAnsi="仿宋" w:eastAsia="仿宋"/>
          <w:sz w:val="24"/>
          <w:szCs w:val="24"/>
        </w:rPr>
        <w:t>3.联系人：徐老师；</w:t>
      </w:r>
    </w:p>
    <w:p>
      <w:pPr>
        <w:ind w:firstLine="480" w:firstLineChars="200"/>
        <w:jc w:val="left"/>
        <w:rPr>
          <w:rFonts w:ascii="仿宋" w:hAnsi="仿宋" w:eastAsia="仿宋"/>
          <w:sz w:val="24"/>
          <w:szCs w:val="24"/>
        </w:rPr>
      </w:pPr>
      <w:r>
        <w:rPr>
          <w:rFonts w:hint="eastAsia" w:ascii="仿宋" w:hAnsi="仿宋" w:eastAsia="仿宋"/>
          <w:sz w:val="24"/>
          <w:szCs w:val="24"/>
        </w:rPr>
        <w:t>4.电话：0572-2322188。</w:t>
      </w:r>
    </w:p>
    <w:p>
      <w:pPr>
        <w:ind w:firstLine="472" w:firstLineChars="196"/>
        <w:jc w:val="left"/>
        <w:rPr>
          <w:rFonts w:ascii="仿宋" w:hAnsi="仿宋" w:eastAsia="仿宋"/>
          <w:b/>
          <w:sz w:val="24"/>
          <w:szCs w:val="24"/>
        </w:rPr>
      </w:pPr>
      <w:r>
        <w:rPr>
          <w:rFonts w:hint="eastAsia" w:ascii="仿宋" w:hAnsi="仿宋" w:eastAsia="仿宋"/>
          <w:b/>
          <w:sz w:val="24"/>
          <w:szCs w:val="24"/>
        </w:rPr>
        <w:t>四、中标办法</w:t>
      </w:r>
    </w:p>
    <w:p>
      <w:pPr>
        <w:ind w:firstLine="480" w:firstLineChars="200"/>
        <w:contextualSpacing/>
        <w:jc w:val="left"/>
        <w:rPr>
          <w:rFonts w:ascii="仿宋" w:hAnsi="仿宋" w:eastAsia="仿宋"/>
          <w:sz w:val="24"/>
          <w:szCs w:val="24"/>
        </w:rPr>
      </w:pPr>
      <w:r>
        <w:rPr>
          <w:rFonts w:hint="eastAsia" w:ascii="仿宋" w:hAnsi="仿宋" w:eastAsia="仿宋"/>
          <w:sz w:val="24"/>
          <w:szCs w:val="24"/>
        </w:rPr>
        <w:t>本项目由评标委员会根据采购文件要求进行综合评分，满分100分，得分最高者为中标人。如得分最高者弃标，由采购人决定按得分从高到低依次排序另行确定中标人或另行招标。中标结果需经公示确认。</w:t>
      </w:r>
    </w:p>
    <w:p>
      <w:pPr>
        <w:ind w:firstLine="472" w:firstLineChars="196"/>
        <w:contextualSpacing/>
        <w:jc w:val="left"/>
        <w:rPr>
          <w:rFonts w:ascii="仿宋" w:hAnsi="仿宋" w:eastAsia="仿宋"/>
          <w:b/>
          <w:sz w:val="24"/>
          <w:szCs w:val="24"/>
        </w:rPr>
      </w:pPr>
      <w:r>
        <w:rPr>
          <w:rFonts w:hint="eastAsia" w:ascii="仿宋" w:hAnsi="仿宋" w:eastAsia="仿宋"/>
          <w:b/>
          <w:sz w:val="24"/>
          <w:szCs w:val="24"/>
        </w:rPr>
        <w:t>五、评分标准</w:t>
      </w:r>
    </w:p>
    <w:p>
      <w:pPr>
        <w:ind w:firstLine="480" w:firstLineChars="200"/>
        <w:contextualSpacing/>
        <w:jc w:val="left"/>
        <w:rPr>
          <w:rFonts w:ascii="仿宋" w:hAnsi="仿宋" w:eastAsia="仿宋"/>
          <w:sz w:val="24"/>
          <w:szCs w:val="24"/>
        </w:rPr>
      </w:pPr>
      <w:r>
        <w:rPr>
          <w:rFonts w:hint="eastAsia" w:ascii="仿宋" w:hAnsi="仿宋" w:eastAsia="仿宋"/>
          <w:sz w:val="24"/>
          <w:szCs w:val="24"/>
        </w:rPr>
        <w:t>本次评标采用综合评分法，总分为100分，其中价格分30分，技术、商务、资信及其他分70分。合格投标人的评标得分为各项目汇总得分，综合得分最高的为第一中标候选人。评分过程中采用四舍五入法，并保留小数2位。</w:t>
      </w:r>
    </w:p>
    <w:p>
      <w:pPr>
        <w:ind w:firstLine="480" w:firstLineChars="200"/>
        <w:contextualSpacing/>
        <w:jc w:val="left"/>
        <w:rPr>
          <w:rFonts w:ascii="仿宋" w:hAnsi="仿宋" w:eastAsia="仿宋"/>
          <w:sz w:val="24"/>
          <w:szCs w:val="24"/>
        </w:rPr>
      </w:pPr>
      <w:r>
        <w:rPr>
          <w:rFonts w:hint="eastAsia" w:ascii="仿宋" w:hAnsi="仿宋" w:eastAsia="仿宋"/>
          <w:sz w:val="24"/>
          <w:szCs w:val="24"/>
        </w:rPr>
        <w:t>投标人评标综合得分=价格分+(技术、商务、资信及其他分)。</w:t>
      </w:r>
    </w:p>
    <w:p>
      <w:pPr>
        <w:ind w:firstLine="482" w:firstLineChars="200"/>
        <w:jc w:val="left"/>
        <w:rPr>
          <w:rFonts w:ascii="仿宋" w:hAnsi="仿宋" w:eastAsia="仿宋"/>
          <w:b/>
          <w:sz w:val="24"/>
          <w:szCs w:val="24"/>
        </w:rPr>
      </w:pPr>
      <w:r>
        <w:rPr>
          <w:rFonts w:hint="eastAsia" w:ascii="仿宋" w:hAnsi="仿宋" w:eastAsia="仿宋"/>
          <w:b/>
          <w:sz w:val="24"/>
          <w:szCs w:val="24"/>
        </w:rPr>
        <w:t>1.价格分：30分。</w:t>
      </w:r>
    </w:p>
    <w:p>
      <w:pPr>
        <w:ind w:firstLine="480" w:firstLineChars="200"/>
        <w:jc w:val="left"/>
        <w:rPr>
          <w:rFonts w:ascii="仿宋" w:hAnsi="仿宋" w:eastAsia="仿宋"/>
          <w:sz w:val="24"/>
          <w:szCs w:val="24"/>
        </w:rPr>
      </w:pPr>
      <w:r>
        <w:rPr>
          <w:rFonts w:hint="eastAsia" w:ascii="仿宋" w:hAnsi="仿宋" w:eastAsia="仿宋"/>
          <w:sz w:val="24"/>
          <w:szCs w:val="24"/>
        </w:rPr>
        <w:t>投标报价高于采购预算的，则该报价为无效报价。在报价允许范围内，投标人中报价最低的为评标基准价，其价格分为满分，其他投标人的价格分按照下列公式计算：价格分=（评标基准价/投标人报价）×30。</w:t>
      </w:r>
    </w:p>
    <w:p>
      <w:pPr>
        <w:ind w:firstLine="482" w:firstLineChars="200"/>
        <w:jc w:val="left"/>
        <w:rPr>
          <w:rFonts w:ascii="仿宋" w:hAnsi="仿宋" w:eastAsia="仿宋"/>
          <w:b/>
          <w:sz w:val="24"/>
          <w:szCs w:val="24"/>
        </w:rPr>
      </w:pPr>
      <w:r>
        <w:rPr>
          <w:rFonts w:hint="eastAsia" w:ascii="仿宋" w:hAnsi="仿宋" w:eastAsia="仿宋"/>
          <w:b/>
          <w:sz w:val="24"/>
          <w:szCs w:val="24"/>
        </w:rPr>
        <w:t>2.技术、商务、资信及其他分：70分。</w:t>
      </w:r>
    </w:p>
    <w:p>
      <w:pPr>
        <w:ind w:firstLine="480" w:firstLineChars="200"/>
        <w:jc w:val="left"/>
        <w:rPr>
          <w:rFonts w:ascii="仿宋" w:hAnsi="仿宋" w:eastAsia="仿宋"/>
          <w:sz w:val="24"/>
          <w:szCs w:val="24"/>
        </w:rPr>
      </w:pPr>
      <w:r>
        <w:rPr>
          <w:rFonts w:hint="eastAsia" w:ascii="仿宋" w:hAnsi="仿宋" w:eastAsia="仿宋"/>
          <w:sz w:val="24"/>
          <w:szCs w:val="24"/>
        </w:rPr>
        <w:t>本部分按照评标小组成员的独立评分结果汇总数的算术平均分计算，计算公式为：得分=（评标小组所有成员评分合计数）/（评标小组组成人员数）</w:t>
      </w:r>
    </w:p>
    <w:tbl>
      <w:tblPr>
        <w:tblStyle w:val="10"/>
        <w:tblW w:w="9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
        <w:gridCol w:w="1487"/>
        <w:gridCol w:w="770"/>
        <w:gridCol w:w="6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832" w:type="dxa"/>
            <w:noWrap/>
            <w:tcMar>
              <w:top w:w="0" w:type="dxa"/>
              <w:left w:w="108" w:type="dxa"/>
              <w:bottom w:w="0" w:type="dxa"/>
              <w:right w:w="108" w:type="dxa"/>
            </w:tcMar>
            <w:vAlign w:val="center"/>
          </w:tcPr>
          <w:p>
            <w:pPr>
              <w:tabs>
                <w:tab w:val="left" w:pos="0"/>
                <w:tab w:val="left" w:pos="993"/>
                <w:tab w:val="left" w:pos="1134"/>
              </w:tabs>
              <w:jc w:val="center"/>
              <w:rPr>
                <w:rFonts w:ascii="仿宋" w:hAnsi="仿宋" w:eastAsia="仿宋" w:cs="仿宋"/>
                <w:szCs w:val="21"/>
              </w:rPr>
            </w:pPr>
            <w:r>
              <w:rPr>
                <w:rFonts w:hint="eastAsia" w:ascii="仿宋" w:hAnsi="仿宋" w:eastAsia="仿宋" w:cs="仿宋"/>
                <w:szCs w:val="21"/>
              </w:rPr>
              <w:t>序号</w:t>
            </w:r>
          </w:p>
        </w:tc>
        <w:tc>
          <w:tcPr>
            <w:tcW w:w="1487" w:type="dxa"/>
            <w:noWrap/>
            <w:tcMar>
              <w:top w:w="0" w:type="dxa"/>
              <w:left w:w="108" w:type="dxa"/>
              <w:bottom w:w="0" w:type="dxa"/>
              <w:right w:w="108" w:type="dxa"/>
            </w:tcMar>
            <w:vAlign w:val="center"/>
          </w:tcPr>
          <w:p>
            <w:pPr>
              <w:tabs>
                <w:tab w:val="left" w:pos="0"/>
                <w:tab w:val="left" w:pos="993"/>
                <w:tab w:val="left" w:pos="1134"/>
              </w:tabs>
              <w:jc w:val="center"/>
              <w:rPr>
                <w:rFonts w:ascii="仿宋" w:hAnsi="仿宋" w:eastAsia="仿宋" w:cs="仿宋"/>
                <w:szCs w:val="21"/>
              </w:rPr>
            </w:pPr>
            <w:r>
              <w:rPr>
                <w:rFonts w:hint="eastAsia" w:ascii="仿宋" w:hAnsi="仿宋" w:eastAsia="仿宋" w:cs="仿宋"/>
                <w:szCs w:val="21"/>
              </w:rPr>
              <w:t>评审内容</w:t>
            </w:r>
          </w:p>
        </w:tc>
        <w:tc>
          <w:tcPr>
            <w:tcW w:w="770" w:type="dxa"/>
            <w:noWrap/>
            <w:tcMar>
              <w:top w:w="0" w:type="dxa"/>
              <w:left w:w="108" w:type="dxa"/>
              <w:bottom w:w="0" w:type="dxa"/>
              <w:right w:w="108" w:type="dxa"/>
            </w:tcMar>
            <w:vAlign w:val="center"/>
          </w:tcPr>
          <w:p>
            <w:pPr>
              <w:tabs>
                <w:tab w:val="left" w:pos="0"/>
                <w:tab w:val="left" w:pos="993"/>
                <w:tab w:val="left" w:pos="1134"/>
              </w:tabs>
              <w:jc w:val="center"/>
              <w:rPr>
                <w:rFonts w:ascii="仿宋" w:hAnsi="仿宋" w:eastAsia="仿宋" w:cs="仿宋"/>
                <w:szCs w:val="21"/>
              </w:rPr>
            </w:pPr>
            <w:r>
              <w:rPr>
                <w:rFonts w:hint="eastAsia" w:ascii="仿宋" w:hAnsi="仿宋" w:eastAsia="仿宋" w:cs="仿宋"/>
                <w:szCs w:val="21"/>
              </w:rPr>
              <w:t>分值</w:t>
            </w:r>
          </w:p>
        </w:tc>
        <w:tc>
          <w:tcPr>
            <w:tcW w:w="6553" w:type="dxa"/>
            <w:noWrap/>
            <w:tcMar>
              <w:top w:w="0" w:type="dxa"/>
              <w:left w:w="108" w:type="dxa"/>
              <w:bottom w:w="0" w:type="dxa"/>
              <w:right w:w="108" w:type="dxa"/>
            </w:tcMar>
            <w:vAlign w:val="center"/>
          </w:tcPr>
          <w:p>
            <w:pPr>
              <w:tabs>
                <w:tab w:val="left" w:pos="0"/>
                <w:tab w:val="left" w:pos="993"/>
                <w:tab w:val="left" w:pos="1134"/>
              </w:tabs>
              <w:jc w:val="center"/>
              <w:rPr>
                <w:rFonts w:ascii="仿宋" w:hAnsi="仿宋" w:eastAsia="仿宋" w:cs="仿宋"/>
                <w:szCs w:val="21"/>
              </w:rPr>
            </w:pPr>
            <w:r>
              <w:rPr>
                <w:rFonts w:hint="eastAsia" w:ascii="仿宋" w:hAnsi="仿宋" w:eastAsia="仿宋" w:cs="仿宋"/>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42" w:type="dxa"/>
            <w:gridSpan w:val="4"/>
            <w:noWrap/>
            <w:tcMar>
              <w:top w:w="0" w:type="dxa"/>
              <w:left w:w="108" w:type="dxa"/>
              <w:bottom w:w="0" w:type="dxa"/>
              <w:right w:w="108" w:type="dxa"/>
            </w:tcMar>
            <w:vAlign w:val="center"/>
          </w:tcPr>
          <w:p>
            <w:pPr>
              <w:tabs>
                <w:tab w:val="left" w:pos="0"/>
                <w:tab w:val="left" w:pos="993"/>
                <w:tab w:val="left" w:pos="1134"/>
              </w:tabs>
              <w:jc w:val="center"/>
              <w:rPr>
                <w:rFonts w:ascii="仿宋" w:hAnsi="仿宋" w:eastAsia="仿宋" w:cs="仿宋"/>
                <w:szCs w:val="21"/>
              </w:rPr>
            </w:pPr>
            <w:r>
              <w:rPr>
                <w:rFonts w:hint="eastAsia" w:ascii="仿宋" w:hAnsi="仿宋" w:eastAsia="仿宋" w:cs="仿宋"/>
                <w:szCs w:val="21"/>
              </w:rPr>
              <w:t>一、技术分（5</w:t>
            </w:r>
            <w:r>
              <w:rPr>
                <w:rFonts w:hint="eastAsia" w:ascii="仿宋" w:hAnsi="仿宋" w:eastAsia="仿宋" w:cs="仿宋"/>
                <w:szCs w:val="21"/>
                <w:lang w:val="en-US" w:eastAsia="zh-CN"/>
              </w:rPr>
              <w:t>5</w:t>
            </w:r>
            <w:r>
              <w:rPr>
                <w:rFonts w:hint="eastAsia" w:ascii="仿宋" w:hAnsi="仿宋" w:eastAsia="仿宋" w:cs="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32" w:type="dxa"/>
            <w:noWrap/>
            <w:tcMar>
              <w:top w:w="0" w:type="dxa"/>
              <w:left w:w="108" w:type="dxa"/>
              <w:bottom w:w="0" w:type="dxa"/>
              <w:right w:w="108" w:type="dxa"/>
            </w:tcMar>
            <w:vAlign w:val="center"/>
          </w:tcPr>
          <w:p>
            <w:pPr>
              <w:tabs>
                <w:tab w:val="left" w:pos="0"/>
                <w:tab w:val="left" w:pos="993"/>
                <w:tab w:val="left" w:pos="1134"/>
              </w:tabs>
              <w:jc w:val="center"/>
              <w:rPr>
                <w:rFonts w:ascii="仿宋" w:hAnsi="仿宋" w:eastAsia="仿宋" w:cs="仿宋"/>
                <w:szCs w:val="21"/>
              </w:rPr>
            </w:pPr>
            <w:r>
              <w:rPr>
                <w:rFonts w:hint="eastAsia" w:ascii="仿宋" w:hAnsi="仿宋" w:eastAsia="仿宋" w:cs="仿宋"/>
                <w:szCs w:val="21"/>
              </w:rPr>
              <w:t>1</w:t>
            </w:r>
          </w:p>
        </w:tc>
        <w:tc>
          <w:tcPr>
            <w:tcW w:w="1487" w:type="dxa"/>
            <w:noWrap/>
            <w:tcMar>
              <w:top w:w="0" w:type="dxa"/>
              <w:left w:w="108" w:type="dxa"/>
              <w:bottom w:w="0" w:type="dxa"/>
              <w:right w:w="108" w:type="dxa"/>
            </w:tcMar>
            <w:vAlign w:val="center"/>
          </w:tcPr>
          <w:p>
            <w:pPr>
              <w:tabs>
                <w:tab w:val="left" w:pos="0"/>
                <w:tab w:val="left" w:pos="993"/>
                <w:tab w:val="left" w:pos="1134"/>
              </w:tabs>
              <w:rPr>
                <w:rFonts w:ascii="仿宋" w:hAnsi="仿宋" w:eastAsia="仿宋" w:cs="仿宋"/>
                <w:szCs w:val="21"/>
              </w:rPr>
            </w:pPr>
            <w:r>
              <w:rPr>
                <w:rFonts w:hint="eastAsia" w:ascii="仿宋" w:hAnsi="仿宋" w:eastAsia="仿宋" w:cs="仿宋"/>
                <w:szCs w:val="21"/>
              </w:rPr>
              <w:t>货物技术性能</w:t>
            </w:r>
          </w:p>
        </w:tc>
        <w:tc>
          <w:tcPr>
            <w:tcW w:w="770" w:type="dxa"/>
            <w:noWrap/>
            <w:tcMar>
              <w:top w:w="0" w:type="dxa"/>
              <w:left w:w="108" w:type="dxa"/>
              <w:bottom w:w="0" w:type="dxa"/>
              <w:right w:w="108" w:type="dxa"/>
            </w:tcMar>
            <w:vAlign w:val="center"/>
          </w:tcPr>
          <w:p>
            <w:pPr>
              <w:tabs>
                <w:tab w:val="left" w:pos="0"/>
                <w:tab w:val="left" w:pos="993"/>
                <w:tab w:val="left" w:pos="1134"/>
              </w:tabs>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val="en-US" w:eastAsia="zh-CN"/>
              </w:rPr>
              <w:t>5</w:t>
            </w:r>
            <w:r>
              <w:rPr>
                <w:rFonts w:hint="eastAsia" w:ascii="仿宋" w:hAnsi="仿宋" w:eastAsia="仿宋" w:cs="仿宋"/>
                <w:szCs w:val="21"/>
              </w:rPr>
              <w:t>分</w:t>
            </w:r>
          </w:p>
        </w:tc>
        <w:tc>
          <w:tcPr>
            <w:tcW w:w="6553" w:type="dxa"/>
            <w:noWrap/>
            <w:tcMar>
              <w:top w:w="0" w:type="dxa"/>
              <w:left w:w="108" w:type="dxa"/>
              <w:bottom w:w="0" w:type="dxa"/>
              <w:right w:w="108" w:type="dxa"/>
            </w:tcMar>
            <w:vAlign w:val="center"/>
          </w:tcPr>
          <w:p>
            <w:pPr>
              <w:numPr>
                <w:ilvl w:val="0"/>
                <w:numId w:val="0"/>
              </w:numPr>
              <w:tabs>
                <w:tab w:val="left" w:pos="0"/>
                <w:tab w:val="left" w:pos="993"/>
                <w:tab w:val="left" w:pos="1134"/>
              </w:tabs>
              <w:rPr>
                <w:rFonts w:hint="eastAsia"/>
              </w:rPr>
            </w:pPr>
            <w:r>
              <w:rPr>
                <w:rFonts w:hint="eastAsia" w:ascii="仿宋" w:hAnsi="仿宋" w:eastAsia="仿宋" w:cs="仿宋"/>
                <w:szCs w:val="21"/>
                <w:lang w:val="en-US" w:eastAsia="zh-CN"/>
              </w:rPr>
              <w:t>1.</w:t>
            </w:r>
            <w:r>
              <w:rPr>
                <w:rFonts w:hint="eastAsia" w:ascii="仿宋" w:hAnsi="仿宋" w:eastAsia="仿宋" w:cs="仿宋"/>
                <w:szCs w:val="21"/>
              </w:rPr>
              <w:t>满足磋商货物的性能及技术指标要求（</w:t>
            </w:r>
            <w:r>
              <w:rPr>
                <w:rFonts w:hint="eastAsia" w:ascii="仿宋" w:hAnsi="仿宋" w:eastAsia="仿宋" w:cs="仿宋"/>
                <w:szCs w:val="21"/>
                <w:lang w:val="en-US" w:eastAsia="zh-CN"/>
              </w:rPr>
              <w:t>20</w:t>
            </w:r>
            <w:r>
              <w:rPr>
                <w:rFonts w:hint="eastAsia" w:ascii="仿宋" w:hAnsi="仿宋" w:eastAsia="仿宋" w:cs="仿宋"/>
                <w:szCs w:val="21"/>
              </w:rPr>
              <w:t>分），任何一项</w:t>
            </w:r>
            <w:r>
              <w:rPr>
                <w:rFonts w:hint="eastAsia" w:ascii="仿宋" w:hAnsi="仿宋" w:eastAsia="仿宋" w:cs="Times New Roman"/>
                <w:b/>
                <w:sz w:val="24"/>
                <w:szCs w:val="24"/>
              </w:rPr>
              <w:t>▲</w:t>
            </w:r>
            <w:r>
              <w:rPr>
                <w:rFonts w:hint="eastAsia" w:ascii="仿宋" w:hAnsi="仿宋" w:eastAsia="仿宋" w:cs="仿宋"/>
                <w:szCs w:val="21"/>
              </w:rPr>
              <w:t>不可偏离的性能指标或者技术指标低于磋商需求的，投标无效；技术指标与招标需求基本一致的，得基本1</w:t>
            </w:r>
            <w:r>
              <w:rPr>
                <w:rFonts w:hint="eastAsia" w:ascii="仿宋" w:hAnsi="仿宋" w:eastAsia="仿宋" w:cs="仿宋"/>
                <w:szCs w:val="21"/>
                <w:lang w:val="en-US" w:eastAsia="zh-CN"/>
              </w:rPr>
              <w:t>0</w:t>
            </w:r>
            <w:r>
              <w:rPr>
                <w:rFonts w:hint="eastAsia" w:ascii="仿宋" w:hAnsi="仿宋" w:eastAsia="仿宋" w:cs="仿宋"/>
                <w:szCs w:val="21"/>
              </w:rPr>
              <w:t>分；所有不可偏离指标均满足且多数指标明显优于本磋商需求的，每优于一项在基本分的基础上加1分，最高得</w:t>
            </w:r>
            <w:r>
              <w:rPr>
                <w:rFonts w:hint="eastAsia" w:ascii="仿宋" w:hAnsi="仿宋" w:eastAsia="仿宋" w:cs="仿宋"/>
                <w:szCs w:val="21"/>
                <w:lang w:val="en-US" w:eastAsia="zh-CN"/>
              </w:rPr>
              <w:t>20</w:t>
            </w:r>
            <w:r>
              <w:rPr>
                <w:rFonts w:hint="eastAsia" w:ascii="仿宋" w:hAnsi="仿宋" w:eastAsia="仿宋" w:cs="仿宋"/>
                <w:szCs w:val="21"/>
              </w:rPr>
              <w:t>分；允许偏离的指标低于磋商需求（负偏离）的，每低于一项扣1分，扣完该项得分为止。</w:t>
            </w:r>
          </w:p>
          <w:p>
            <w:pPr>
              <w:pStyle w:val="2"/>
              <w:ind w:left="0" w:leftChars="0" w:firstLine="0" w:firstLineChars="0"/>
            </w:pPr>
            <w:r>
              <w:rPr>
                <w:rFonts w:hint="eastAsia" w:ascii="仿宋" w:hAnsi="仿宋" w:eastAsia="仿宋" w:cs="仿宋"/>
                <w:color w:val="0000FF"/>
                <w:szCs w:val="21"/>
                <w:lang w:val="en-US" w:eastAsia="zh-CN"/>
              </w:rPr>
              <w:t>2.样品分（15分），根据</w:t>
            </w:r>
            <w:r>
              <w:rPr>
                <w:rFonts w:hint="eastAsia" w:ascii="仿宋" w:hAnsi="仿宋" w:eastAsia="仿宋" w:cs="仿宋"/>
                <w:color w:val="0000FF"/>
                <w:szCs w:val="21"/>
              </w:rPr>
              <w:t>标本</w:t>
            </w:r>
            <w:r>
              <w:rPr>
                <w:rFonts w:hint="eastAsia" w:ascii="仿宋" w:hAnsi="仿宋" w:eastAsia="仿宋" w:cs="仿宋"/>
                <w:color w:val="0000FF"/>
                <w:szCs w:val="21"/>
                <w:lang w:val="en-US" w:eastAsia="zh-CN"/>
              </w:rPr>
              <w:t>样品的材质及制作工艺的优良程度进行打分。优质的11-15分，良好的6-10分，一般的0-5分。</w:t>
            </w:r>
            <w:r>
              <w:rPr>
                <w:rFonts w:hint="eastAsia" w:ascii="仿宋" w:hAnsi="仿宋" w:eastAsia="仿宋" w:cs="仿宋"/>
                <w:szCs w:val="21"/>
              </w:rPr>
              <w:t xml:space="preserve">标本技术参数：1、标本制作依据人民卫生出版社出版:丁文龙、刘学政主编«系统解剖学»第9版；郭光文、王序主编«人体解剖彩色图谱»第2版；崔慧先、李瑞锡主编«局部解剖学»第9版。2、提供市级（含市级）以上红十字会材料来源证明（含申报函和批复函，原件备查）；提供中国解剖学会出具的解剖标本类以及生命科学馆建设相关技术鉴定证书（原件备查）；提供解剖标本类相关发明专利（原件备查）。投标时需携带如下样本：普通标本(面神经)一件；铸型标本（手部动脉）一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 w:hRule="atLeast"/>
          <w:jc w:val="center"/>
        </w:trPr>
        <w:tc>
          <w:tcPr>
            <w:tcW w:w="832" w:type="dxa"/>
            <w:noWrap/>
            <w:tcMar>
              <w:top w:w="0" w:type="dxa"/>
              <w:left w:w="108" w:type="dxa"/>
              <w:bottom w:w="0" w:type="dxa"/>
              <w:right w:w="108" w:type="dxa"/>
            </w:tcMar>
            <w:vAlign w:val="center"/>
          </w:tcPr>
          <w:p>
            <w:pPr>
              <w:widowControl/>
              <w:spacing w:line="360" w:lineRule="exact"/>
              <w:jc w:val="center"/>
              <w:rPr>
                <w:rFonts w:ascii="仿宋" w:hAnsi="仿宋" w:eastAsia="仿宋" w:cs="仿宋"/>
                <w:kern w:val="0"/>
                <w:szCs w:val="21"/>
              </w:rPr>
            </w:pPr>
            <w:r>
              <w:rPr>
                <w:rFonts w:hint="eastAsia" w:ascii="仿宋" w:hAnsi="仿宋" w:eastAsia="仿宋" w:cs="仿宋"/>
                <w:kern w:val="0"/>
                <w:szCs w:val="21"/>
              </w:rPr>
              <w:t>2</w:t>
            </w:r>
          </w:p>
        </w:tc>
        <w:tc>
          <w:tcPr>
            <w:tcW w:w="1487" w:type="dxa"/>
            <w:noWrap/>
            <w:tcMar>
              <w:top w:w="0" w:type="dxa"/>
              <w:left w:w="108" w:type="dxa"/>
              <w:bottom w:w="0" w:type="dxa"/>
              <w:right w:w="108" w:type="dxa"/>
            </w:tcMar>
            <w:vAlign w:val="center"/>
          </w:tcPr>
          <w:p>
            <w:pPr>
              <w:tabs>
                <w:tab w:val="left" w:pos="0"/>
                <w:tab w:val="left" w:pos="993"/>
                <w:tab w:val="left" w:pos="1134"/>
              </w:tabs>
              <w:rPr>
                <w:rFonts w:ascii="仿宋" w:hAnsi="仿宋" w:eastAsia="仿宋" w:cs="仿宋"/>
                <w:szCs w:val="21"/>
              </w:rPr>
            </w:pPr>
            <w:r>
              <w:rPr>
                <w:rFonts w:hint="eastAsia" w:ascii="仿宋" w:hAnsi="仿宋" w:eastAsia="仿宋" w:cs="仿宋"/>
                <w:szCs w:val="21"/>
              </w:rPr>
              <w:t>项目实施能力及保障措施</w:t>
            </w:r>
          </w:p>
        </w:tc>
        <w:tc>
          <w:tcPr>
            <w:tcW w:w="770" w:type="dxa"/>
            <w:noWrap/>
            <w:tcMar>
              <w:top w:w="0" w:type="dxa"/>
              <w:left w:w="108" w:type="dxa"/>
              <w:bottom w:w="0" w:type="dxa"/>
              <w:right w:w="108" w:type="dxa"/>
            </w:tcMar>
            <w:vAlign w:val="center"/>
          </w:tcPr>
          <w:p>
            <w:pPr>
              <w:tabs>
                <w:tab w:val="left" w:pos="0"/>
                <w:tab w:val="left" w:pos="993"/>
                <w:tab w:val="left" w:pos="1134"/>
              </w:tabs>
              <w:rPr>
                <w:rFonts w:ascii="仿宋" w:hAnsi="仿宋" w:eastAsia="仿宋" w:cs="仿宋"/>
                <w:szCs w:val="21"/>
              </w:rPr>
            </w:pPr>
            <w:r>
              <w:rPr>
                <w:rFonts w:hint="eastAsia" w:ascii="仿宋" w:hAnsi="仿宋" w:eastAsia="仿宋" w:cs="仿宋"/>
                <w:szCs w:val="21"/>
              </w:rPr>
              <w:t>20分</w:t>
            </w:r>
          </w:p>
        </w:tc>
        <w:tc>
          <w:tcPr>
            <w:tcW w:w="6553" w:type="dxa"/>
            <w:noWrap/>
            <w:tcMar>
              <w:top w:w="0" w:type="dxa"/>
              <w:left w:w="108" w:type="dxa"/>
              <w:bottom w:w="0" w:type="dxa"/>
              <w:right w:w="108" w:type="dxa"/>
            </w:tcMar>
            <w:vAlign w:val="center"/>
          </w:tcPr>
          <w:p>
            <w:pPr>
              <w:tabs>
                <w:tab w:val="left" w:pos="0"/>
                <w:tab w:val="left" w:pos="993"/>
                <w:tab w:val="left" w:pos="1134"/>
              </w:tabs>
              <w:rPr>
                <w:rFonts w:ascii="仿宋" w:hAnsi="仿宋" w:eastAsia="仿宋" w:cs="仿宋"/>
                <w:szCs w:val="21"/>
              </w:rPr>
            </w:pPr>
            <w:r>
              <w:rPr>
                <w:rFonts w:hint="eastAsia" w:ascii="仿宋" w:hAnsi="仿宋" w:eastAsia="仿宋" w:cs="仿宋"/>
                <w:szCs w:val="21"/>
              </w:rPr>
              <w:t>1.保证货期的方案和措施（5分），确保项目交货期、分工安排、项目过程中各阶段划分和控制等方案和措施切实可行的，得5分；方案、措施不严密扣1-2分，措施、方案不得力扣3-4分。</w:t>
            </w:r>
          </w:p>
          <w:p>
            <w:pPr>
              <w:tabs>
                <w:tab w:val="left" w:pos="0"/>
                <w:tab w:val="left" w:pos="993"/>
                <w:tab w:val="left" w:pos="1134"/>
              </w:tabs>
              <w:rPr>
                <w:rFonts w:ascii="仿宋" w:hAnsi="仿宋" w:eastAsia="仿宋" w:cs="仿宋"/>
                <w:szCs w:val="21"/>
              </w:rPr>
            </w:pPr>
            <w:r>
              <w:rPr>
                <w:rFonts w:hint="eastAsia" w:ascii="仿宋" w:hAnsi="仿宋" w:eastAsia="仿宋" w:cs="仿宋"/>
                <w:szCs w:val="21"/>
              </w:rPr>
              <w:t>2.确保供应货物质量的设施及措施（5分），有严密的质量监控措施和先进的质量检测设施的得5分，其余的根据质量控制措施和质量检测设施全面性、严密性得0-4分</w:t>
            </w:r>
          </w:p>
          <w:p>
            <w:pPr>
              <w:tabs>
                <w:tab w:val="left" w:pos="0"/>
                <w:tab w:val="left" w:pos="993"/>
                <w:tab w:val="left" w:pos="1134"/>
              </w:tabs>
              <w:rPr>
                <w:rFonts w:ascii="仿宋" w:hAnsi="仿宋" w:eastAsia="仿宋" w:cs="仿宋"/>
                <w:szCs w:val="21"/>
              </w:rPr>
            </w:pPr>
            <w:r>
              <w:rPr>
                <w:rFonts w:hint="eastAsia" w:ascii="仿宋" w:hAnsi="仿宋" w:eastAsia="仿宋" w:cs="仿宋"/>
                <w:szCs w:val="21"/>
              </w:rPr>
              <w:t>3.安装、调试、验收的方案和措施（5分），安装、调试、验收的各阶段的方案和措施能结合本项目特点、切实可行的，得5分；方案措施欠佳的，每项扣0.5-1分，扣完该项得分为止；方案措施存在明显缺陷的，每项扣1分，扣完该项得分 为止；无方案无措施的不得分。</w:t>
            </w:r>
          </w:p>
          <w:p>
            <w:pPr>
              <w:tabs>
                <w:tab w:val="left" w:pos="0"/>
                <w:tab w:val="left" w:pos="993"/>
                <w:tab w:val="left" w:pos="1134"/>
              </w:tabs>
              <w:rPr>
                <w:rFonts w:ascii="仿宋" w:hAnsi="仿宋" w:eastAsia="仿宋" w:cs="仿宋"/>
                <w:szCs w:val="21"/>
              </w:rPr>
            </w:pPr>
            <w:r>
              <w:rPr>
                <w:rFonts w:hint="eastAsia" w:ascii="仿宋" w:hAnsi="仿宋" w:eastAsia="仿宋" w:cs="仿宋"/>
                <w:szCs w:val="21"/>
              </w:rPr>
              <w:t>4.产品的整体性能（5分），由评标委员会根据投标产品的功能、技术配置优势情况综合评定，整体性能多项优于技术指标的得5分，基本符合得3分，多项低于技术指标的的0分。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9642" w:type="dxa"/>
            <w:gridSpan w:val="4"/>
            <w:noWrap/>
            <w:vAlign w:val="center"/>
          </w:tcPr>
          <w:p>
            <w:pPr>
              <w:tabs>
                <w:tab w:val="left" w:pos="0"/>
                <w:tab w:val="left" w:pos="993"/>
                <w:tab w:val="left" w:pos="1134"/>
              </w:tabs>
              <w:jc w:val="center"/>
              <w:rPr>
                <w:rFonts w:ascii="仿宋" w:hAnsi="仿宋" w:eastAsia="仿宋" w:cs="仿宋"/>
                <w:szCs w:val="21"/>
              </w:rPr>
            </w:pPr>
            <w:r>
              <w:rPr>
                <w:rFonts w:hint="eastAsia" w:ascii="仿宋" w:hAnsi="仿宋" w:eastAsia="仿宋" w:cs="仿宋"/>
                <w:szCs w:val="21"/>
              </w:rPr>
              <w:t>二、商务、资信及其他分（1</w:t>
            </w:r>
            <w:r>
              <w:rPr>
                <w:rFonts w:hint="eastAsia" w:ascii="仿宋" w:hAnsi="仿宋" w:eastAsia="仿宋" w:cs="仿宋"/>
                <w:szCs w:val="21"/>
                <w:lang w:val="en-US" w:eastAsia="zh-CN"/>
              </w:rPr>
              <w:t>5</w:t>
            </w:r>
            <w:r>
              <w:rPr>
                <w:rFonts w:hint="eastAsia" w:ascii="仿宋" w:hAnsi="仿宋" w:eastAsia="仿宋" w:cs="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jc w:val="center"/>
        </w:trPr>
        <w:tc>
          <w:tcPr>
            <w:tcW w:w="832" w:type="dxa"/>
            <w:noWrap/>
            <w:vAlign w:val="center"/>
          </w:tcPr>
          <w:p>
            <w:pPr>
              <w:widowControl/>
              <w:spacing w:line="360" w:lineRule="exact"/>
              <w:jc w:val="center"/>
              <w:rPr>
                <w:rFonts w:eastAsia="仿宋"/>
                <w:szCs w:val="21"/>
              </w:rPr>
            </w:pPr>
            <w:r>
              <w:rPr>
                <w:rFonts w:hint="eastAsia" w:eastAsia="仿宋"/>
                <w:szCs w:val="21"/>
              </w:rPr>
              <w:t>3</w:t>
            </w:r>
          </w:p>
        </w:tc>
        <w:tc>
          <w:tcPr>
            <w:tcW w:w="1487" w:type="dxa"/>
            <w:noWrap/>
            <w:vAlign w:val="center"/>
          </w:tcPr>
          <w:p>
            <w:pPr>
              <w:tabs>
                <w:tab w:val="left" w:pos="0"/>
                <w:tab w:val="left" w:pos="993"/>
                <w:tab w:val="left" w:pos="1134"/>
              </w:tabs>
              <w:jc w:val="center"/>
              <w:rPr>
                <w:rFonts w:ascii="仿宋" w:hAnsi="仿宋" w:eastAsia="仿宋" w:cs="仿宋"/>
                <w:szCs w:val="21"/>
              </w:rPr>
            </w:pPr>
            <w:r>
              <w:rPr>
                <w:rFonts w:hint="eastAsia" w:ascii="仿宋" w:hAnsi="仿宋" w:eastAsia="仿宋" w:cs="仿宋"/>
                <w:szCs w:val="21"/>
              </w:rPr>
              <w:t>售后服务与承诺</w:t>
            </w:r>
          </w:p>
        </w:tc>
        <w:tc>
          <w:tcPr>
            <w:tcW w:w="770" w:type="dxa"/>
            <w:noWrap/>
            <w:vAlign w:val="center"/>
          </w:tcPr>
          <w:p>
            <w:pPr>
              <w:tabs>
                <w:tab w:val="left" w:pos="0"/>
                <w:tab w:val="left" w:pos="993"/>
                <w:tab w:val="left" w:pos="1134"/>
              </w:tabs>
              <w:jc w:val="center"/>
              <w:rPr>
                <w:rFonts w:ascii="仿宋" w:hAnsi="仿宋" w:eastAsia="仿宋" w:cs="仿宋"/>
                <w:szCs w:val="21"/>
              </w:rPr>
            </w:pPr>
            <w:r>
              <w:rPr>
                <w:rFonts w:hint="eastAsia" w:ascii="仿宋" w:hAnsi="仿宋" w:eastAsia="仿宋" w:cs="仿宋"/>
                <w:szCs w:val="21"/>
                <w:lang w:val="en-US" w:eastAsia="zh-CN"/>
              </w:rPr>
              <w:t>7</w:t>
            </w:r>
            <w:r>
              <w:rPr>
                <w:rFonts w:hint="eastAsia" w:ascii="仿宋" w:hAnsi="仿宋" w:eastAsia="仿宋" w:cs="仿宋"/>
                <w:szCs w:val="21"/>
              </w:rPr>
              <w:t>分</w:t>
            </w:r>
          </w:p>
        </w:tc>
        <w:tc>
          <w:tcPr>
            <w:tcW w:w="6553" w:type="dxa"/>
            <w:noWrap/>
            <w:vAlign w:val="center"/>
          </w:tcPr>
          <w:p>
            <w:pPr>
              <w:tabs>
                <w:tab w:val="left" w:pos="0"/>
                <w:tab w:val="left" w:pos="993"/>
                <w:tab w:val="left" w:pos="1134"/>
              </w:tabs>
              <w:rPr>
                <w:rFonts w:ascii="仿宋" w:hAnsi="仿宋" w:eastAsia="仿宋" w:cs="仿宋"/>
                <w:szCs w:val="21"/>
              </w:rPr>
            </w:pPr>
            <w:r>
              <w:rPr>
                <w:rFonts w:hint="eastAsia" w:ascii="仿宋" w:hAnsi="仿宋" w:eastAsia="仿宋" w:cs="仿宋"/>
                <w:szCs w:val="21"/>
              </w:rPr>
              <w:t>1.质保期（</w:t>
            </w:r>
            <w:r>
              <w:rPr>
                <w:rFonts w:hint="eastAsia" w:ascii="仿宋" w:hAnsi="仿宋" w:eastAsia="仿宋" w:cs="仿宋"/>
                <w:szCs w:val="21"/>
                <w:lang w:val="en-US" w:eastAsia="zh-CN"/>
              </w:rPr>
              <w:t>3</w:t>
            </w:r>
            <w:r>
              <w:rPr>
                <w:rFonts w:hint="eastAsia" w:ascii="仿宋" w:hAnsi="仿宋" w:eastAsia="仿宋" w:cs="仿宋"/>
                <w:szCs w:val="21"/>
              </w:rPr>
              <w:t>分），质保期超过磋商文件规定的，每增加一年，加1分，最高得3分；</w:t>
            </w:r>
          </w:p>
          <w:p>
            <w:pPr>
              <w:tabs>
                <w:tab w:val="left" w:pos="0"/>
                <w:tab w:val="left" w:pos="993"/>
                <w:tab w:val="left" w:pos="1134"/>
              </w:tabs>
              <w:rPr>
                <w:rFonts w:ascii="仿宋" w:hAnsi="仿宋" w:eastAsia="仿宋" w:cs="仿宋"/>
                <w:szCs w:val="21"/>
              </w:rPr>
            </w:pPr>
            <w:r>
              <w:rPr>
                <w:rFonts w:hint="eastAsia" w:ascii="仿宋" w:hAnsi="仿宋" w:eastAsia="仿宋" w:cs="仿宋"/>
                <w:szCs w:val="21"/>
              </w:rPr>
              <w:t>2.售后服务优惠承诺（</w:t>
            </w:r>
            <w:r>
              <w:rPr>
                <w:rFonts w:hint="eastAsia" w:ascii="仿宋" w:hAnsi="仿宋" w:eastAsia="仿宋" w:cs="仿宋"/>
                <w:szCs w:val="21"/>
                <w:lang w:val="en-US" w:eastAsia="zh-CN"/>
              </w:rPr>
              <w:t>4</w:t>
            </w:r>
            <w:r>
              <w:rPr>
                <w:rFonts w:hint="eastAsia" w:ascii="仿宋" w:hAnsi="仿宋" w:eastAsia="仿宋" w:cs="仿宋"/>
                <w:szCs w:val="21"/>
              </w:rPr>
              <w:t>分），售后服务方案全面周到且优惠幅度大的（如服务响应速度、赠送材料、质保期后服务价格等等）,得</w:t>
            </w:r>
            <w:r>
              <w:rPr>
                <w:rFonts w:hint="eastAsia" w:ascii="仿宋" w:hAnsi="仿宋" w:eastAsia="仿宋" w:cs="仿宋"/>
                <w:szCs w:val="21"/>
                <w:lang w:val="en-US" w:eastAsia="zh-CN"/>
              </w:rPr>
              <w:t>4</w:t>
            </w:r>
            <w:r>
              <w:rPr>
                <w:rFonts w:hint="eastAsia" w:ascii="仿宋" w:hAnsi="仿宋" w:eastAsia="仿宋" w:cs="仿宋"/>
                <w:szCs w:val="21"/>
              </w:rPr>
              <w:t>分，售后服务不全面或优惠不明显的,得1-</w:t>
            </w:r>
            <w:r>
              <w:rPr>
                <w:rFonts w:hint="eastAsia" w:ascii="仿宋" w:hAnsi="仿宋" w:eastAsia="仿宋" w:cs="仿宋"/>
                <w:szCs w:val="21"/>
                <w:lang w:val="en-US" w:eastAsia="zh-CN"/>
              </w:rPr>
              <w:t>3</w:t>
            </w:r>
            <w:r>
              <w:rPr>
                <w:rFonts w:hint="eastAsia" w:ascii="仿宋" w:hAnsi="仿宋" w:eastAsia="仿宋" w:cs="仿宋"/>
                <w:szCs w:val="21"/>
              </w:rPr>
              <w:t>分，除磋商文件规定内容外无其他售后服务承诺的，该项不得分；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jc w:val="center"/>
        </w:trPr>
        <w:tc>
          <w:tcPr>
            <w:tcW w:w="832" w:type="dxa"/>
            <w:noWrap/>
            <w:vAlign w:val="center"/>
          </w:tcPr>
          <w:p>
            <w:pPr>
              <w:widowControl/>
              <w:spacing w:line="360" w:lineRule="exact"/>
              <w:jc w:val="center"/>
              <w:rPr>
                <w:rFonts w:eastAsia="仿宋"/>
                <w:szCs w:val="21"/>
              </w:rPr>
            </w:pPr>
            <w:r>
              <w:rPr>
                <w:rFonts w:hint="eastAsia" w:eastAsia="仿宋"/>
                <w:szCs w:val="21"/>
              </w:rPr>
              <w:t>4</w:t>
            </w:r>
          </w:p>
        </w:tc>
        <w:tc>
          <w:tcPr>
            <w:tcW w:w="1487" w:type="dxa"/>
            <w:noWrap/>
            <w:vAlign w:val="center"/>
          </w:tcPr>
          <w:p>
            <w:pPr>
              <w:tabs>
                <w:tab w:val="left" w:pos="0"/>
                <w:tab w:val="left" w:pos="993"/>
                <w:tab w:val="left" w:pos="1134"/>
              </w:tabs>
              <w:jc w:val="center"/>
              <w:rPr>
                <w:rFonts w:ascii="仿宋" w:hAnsi="仿宋" w:eastAsia="仿宋" w:cs="仿宋"/>
                <w:szCs w:val="21"/>
              </w:rPr>
            </w:pPr>
            <w:r>
              <w:rPr>
                <w:rFonts w:hint="eastAsia" w:ascii="仿宋" w:hAnsi="仿宋" w:eastAsia="仿宋" w:cs="仿宋"/>
                <w:szCs w:val="21"/>
              </w:rPr>
              <w:t>企业认证证书</w:t>
            </w:r>
          </w:p>
        </w:tc>
        <w:tc>
          <w:tcPr>
            <w:tcW w:w="770" w:type="dxa"/>
            <w:noWrap/>
            <w:vAlign w:val="center"/>
          </w:tcPr>
          <w:p>
            <w:pPr>
              <w:tabs>
                <w:tab w:val="left" w:pos="0"/>
                <w:tab w:val="left" w:pos="993"/>
                <w:tab w:val="left" w:pos="1134"/>
              </w:tabs>
              <w:jc w:val="center"/>
              <w:rPr>
                <w:rFonts w:ascii="仿宋" w:hAnsi="仿宋" w:eastAsia="仿宋" w:cs="仿宋"/>
                <w:szCs w:val="21"/>
              </w:rPr>
            </w:pPr>
            <w:r>
              <w:rPr>
                <w:rFonts w:hint="eastAsia" w:ascii="仿宋" w:hAnsi="仿宋" w:eastAsia="仿宋" w:cs="仿宋"/>
                <w:szCs w:val="21"/>
              </w:rPr>
              <w:t>3分</w:t>
            </w:r>
          </w:p>
        </w:tc>
        <w:tc>
          <w:tcPr>
            <w:tcW w:w="6553" w:type="dxa"/>
            <w:noWrap/>
            <w:vAlign w:val="center"/>
          </w:tcPr>
          <w:p>
            <w:pPr>
              <w:tabs>
                <w:tab w:val="left" w:pos="0"/>
                <w:tab w:val="left" w:pos="993"/>
                <w:tab w:val="left" w:pos="1134"/>
              </w:tabs>
              <w:rPr>
                <w:rFonts w:ascii="仿宋" w:hAnsi="仿宋" w:eastAsia="仿宋" w:cs="仿宋"/>
                <w:szCs w:val="21"/>
              </w:rPr>
            </w:pPr>
            <w:r>
              <w:rPr>
                <w:rFonts w:hint="eastAsia" w:ascii="仿宋" w:hAnsi="仿宋" w:eastAsia="仿宋" w:cs="仿宋"/>
                <w:szCs w:val="21"/>
              </w:rPr>
              <w:t>供应商具有有效的质量管理体系认证、环境体系认证、职业健康安全体系认证，每提供一个得1分，最多得3分。（提供相关证书复印件并加盖公章，并同时提供国家认证认可监督管理委员会官方网站上相关证书有效的网页截图，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832" w:type="dxa"/>
            <w:noWrap/>
            <w:vAlign w:val="center"/>
          </w:tcPr>
          <w:p>
            <w:pPr>
              <w:widowControl/>
              <w:spacing w:line="360" w:lineRule="exact"/>
              <w:jc w:val="center"/>
              <w:rPr>
                <w:rFonts w:ascii="仿宋" w:hAnsi="仿宋" w:eastAsia="仿宋" w:cs="仿宋"/>
                <w:kern w:val="0"/>
                <w:szCs w:val="21"/>
              </w:rPr>
            </w:pPr>
            <w:r>
              <w:rPr>
                <w:rFonts w:hint="eastAsia" w:ascii="仿宋" w:hAnsi="仿宋" w:eastAsia="仿宋" w:cs="仿宋"/>
                <w:kern w:val="0"/>
                <w:szCs w:val="21"/>
              </w:rPr>
              <w:t>5</w:t>
            </w:r>
          </w:p>
        </w:tc>
        <w:tc>
          <w:tcPr>
            <w:tcW w:w="1487" w:type="dxa"/>
            <w:noWrap/>
            <w:vAlign w:val="center"/>
          </w:tcPr>
          <w:p>
            <w:pPr>
              <w:tabs>
                <w:tab w:val="left" w:pos="0"/>
                <w:tab w:val="left" w:pos="993"/>
                <w:tab w:val="left" w:pos="1134"/>
              </w:tabs>
              <w:jc w:val="center"/>
              <w:rPr>
                <w:rFonts w:ascii="仿宋" w:hAnsi="仿宋" w:eastAsia="仿宋" w:cs="仿宋"/>
                <w:szCs w:val="21"/>
              </w:rPr>
            </w:pPr>
            <w:r>
              <w:rPr>
                <w:rFonts w:hint="eastAsia" w:ascii="仿宋" w:hAnsi="仿宋" w:eastAsia="仿宋" w:cs="仿宋"/>
                <w:szCs w:val="21"/>
              </w:rPr>
              <w:t>企业业绩</w:t>
            </w:r>
          </w:p>
        </w:tc>
        <w:tc>
          <w:tcPr>
            <w:tcW w:w="770" w:type="dxa"/>
            <w:noWrap/>
            <w:tcMar>
              <w:top w:w="0" w:type="dxa"/>
              <w:left w:w="108" w:type="dxa"/>
              <w:bottom w:w="0" w:type="dxa"/>
              <w:right w:w="108" w:type="dxa"/>
            </w:tcMar>
            <w:vAlign w:val="center"/>
          </w:tcPr>
          <w:p>
            <w:pPr>
              <w:tabs>
                <w:tab w:val="left" w:pos="0"/>
                <w:tab w:val="left" w:pos="993"/>
                <w:tab w:val="left" w:pos="1134"/>
              </w:tabs>
              <w:jc w:val="center"/>
              <w:rPr>
                <w:rFonts w:ascii="仿宋" w:hAnsi="仿宋" w:eastAsia="仿宋" w:cs="仿宋"/>
                <w:szCs w:val="21"/>
              </w:rPr>
            </w:pPr>
            <w:r>
              <w:rPr>
                <w:rFonts w:hint="eastAsia" w:ascii="仿宋" w:hAnsi="仿宋" w:eastAsia="仿宋" w:cs="仿宋"/>
                <w:szCs w:val="21"/>
              </w:rPr>
              <w:t>5分</w:t>
            </w:r>
          </w:p>
        </w:tc>
        <w:tc>
          <w:tcPr>
            <w:tcW w:w="6553" w:type="dxa"/>
            <w:noWrap/>
            <w:tcMar>
              <w:top w:w="0" w:type="dxa"/>
              <w:left w:w="108" w:type="dxa"/>
              <w:bottom w:w="0" w:type="dxa"/>
              <w:right w:w="108" w:type="dxa"/>
            </w:tcMar>
            <w:vAlign w:val="center"/>
          </w:tcPr>
          <w:p>
            <w:pPr>
              <w:tabs>
                <w:tab w:val="left" w:pos="0"/>
                <w:tab w:val="left" w:pos="993"/>
                <w:tab w:val="left" w:pos="1134"/>
              </w:tabs>
              <w:rPr>
                <w:rFonts w:ascii="仿宋" w:hAnsi="仿宋" w:eastAsia="仿宋" w:cs="仿宋"/>
                <w:szCs w:val="21"/>
              </w:rPr>
            </w:pPr>
            <w:r>
              <w:rPr>
                <w:rFonts w:hint="eastAsia" w:ascii="仿宋" w:hAnsi="仿宋" w:eastAsia="仿宋" w:cs="仿宋"/>
                <w:szCs w:val="21"/>
              </w:rPr>
              <w:t>供应商提供2018年1月1日至今成功同类项目业绩或案例证明（须提供合同复印件等）：供应商提供的1个合同得1分，最高得5分；未提供采购项目合同复印件的不得分。（供应商要列出采购单位名称及项目负责人联系电话，合同签定时间为2018年1月1日至今的合同有效。）</w:t>
            </w:r>
          </w:p>
        </w:tc>
      </w:tr>
    </w:tbl>
    <w:p>
      <w:pPr>
        <w:ind w:firstLine="482" w:firstLineChars="200"/>
        <w:jc w:val="left"/>
        <w:rPr>
          <w:rFonts w:ascii="仿宋" w:hAnsi="仿宋" w:eastAsia="仿宋"/>
          <w:b/>
          <w:sz w:val="24"/>
          <w:szCs w:val="24"/>
        </w:rPr>
      </w:pPr>
      <w:r>
        <w:rPr>
          <w:rFonts w:hint="eastAsia" w:ascii="仿宋" w:hAnsi="仿宋" w:eastAsia="仿宋"/>
          <w:b/>
          <w:sz w:val="24"/>
          <w:szCs w:val="24"/>
        </w:rPr>
        <w:t>以上评分标准中涉及到的相关证书、证明资料均需提供复印件并加盖投标人公章，未提供的此项不得分。</w:t>
      </w:r>
    </w:p>
    <w:p>
      <w:pPr>
        <w:ind w:firstLine="472" w:firstLineChars="196"/>
        <w:jc w:val="left"/>
        <w:rPr>
          <w:rFonts w:ascii="仿宋" w:hAnsi="仿宋" w:eastAsia="仿宋"/>
          <w:b/>
          <w:sz w:val="24"/>
          <w:szCs w:val="24"/>
        </w:rPr>
      </w:pPr>
      <w:r>
        <w:rPr>
          <w:rFonts w:hint="eastAsia" w:ascii="仿宋" w:hAnsi="仿宋" w:eastAsia="仿宋"/>
          <w:b/>
          <w:sz w:val="24"/>
          <w:szCs w:val="24"/>
        </w:rPr>
        <w:t>七、履约保证金</w:t>
      </w:r>
    </w:p>
    <w:p>
      <w:pPr>
        <w:ind w:firstLine="480" w:firstLineChars="200"/>
        <w:contextualSpacing/>
        <w:jc w:val="left"/>
        <w:rPr>
          <w:rFonts w:ascii="仿宋" w:hAnsi="仿宋" w:eastAsia="仿宋"/>
          <w:sz w:val="24"/>
          <w:szCs w:val="24"/>
        </w:rPr>
      </w:pPr>
      <w:r>
        <w:rPr>
          <w:rFonts w:hint="eastAsia" w:ascii="仿宋" w:hAnsi="仿宋" w:eastAsia="仿宋" w:cs="Times New Roman"/>
          <w:sz w:val="24"/>
        </w:rPr>
        <w:t>本项目的履约保证金为合同价的5%；履约保证金形式为：现金或银行、保险公司出具的保函；中标人应根据招标人要求汇入招标人指定账号或提供保函。合同履约完毕，</w:t>
      </w:r>
      <w:r>
        <w:rPr>
          <w:rFonts w:hint="eastAsia" w:ascii="仿宋" w:hAnsi="仿宋" w:eastAsia="仿宋"/>
          <w:sz w:val="24"/>
        </w:rPr>
        <w:t>履约保证金无息退还。</w:t>
      </w:r>
      <w:r>
        <w:rPr>
          <w:rFonts w:hint="eastAsia" w:ascii="仿宋" w:hAnsi="仿宋" w:eastAsia="仿宋"/>
          <w:sz w:val="24"/>
          <w:szCs w:val="24"/>
        </w:rPr>
        <w:t>采购人</w:t>
      </w:r>
      <w:r>
        <w:rPr>
          <w:rFonts w:ascii="仿宋" w:hAnsi="仿宋" w:eastAsia="仿宋"/>
          <w:sz w:val="24"/>
          <w:szCs w:val="24"/>
        </w:rPr>
        <w:t>单位名称：湖州师范学院</w:t>
      </w:r>
      <w:r>
        <w:rPr>
          <w:rFonts w:hint="eastAsia" w:ascii="仿宋" w:hAnsi="仿宋" w:eastAsia="仿宋"/>
          <w:sz w:val="24"/>
          <w:szCs w:val="24"/>
        </w:rPr>
        <w:t>；</w:t>
      </w:r>
      <w:r>
        <w:rPr>
          <w:rFonts w:ascii="仿宋" w:hAnsi="仿宋" w:eastAsia="仿宋"/>
          <w:sz w:val="24"/>
          <w:szCs w:val="24"/>
        </w:rPr>
        <w:t>开户行：建行吴兴支行</w:t>
      </w:r>
      <w:r>
        <w:rPr>
          <w:rFonts w:hint="eastAsia" w:ascii="仿宋" w:hAnsi="仿宋" w:eastAsia="仿宋"/>
          <w:sz w:val="24"/>
          <w:szCs w:val="24"/>
        </w:rPr>
        <w:t>；</w:t>
      </w:r>
      <w:r>
        <w:rPr>
          <w:rFonts w:ascii="仿宋" w:hAnsi="仿宋" w:eastAsia="仿宋"/>
          <w:sz w:val="24"/>
          <w:szCs w:val="24"/>
        </w:rPr>
        <w:t>账号</w:t>
      </w:r>
      <w:r>
        <w:rPr>
          <w:rFonts w:hint="eastAsia" w:ascii="仿宋" w:hAnsi="仿宋" w:eastAsia="仿宋"/>
          <w:sz w:val="24"/>
          <w:szCs w:val="24"/>
        </w:rPr>
        <w:t>：</w:t>
      </w:r>
      <w:r>
        <w:rPr>
          <w:rFonts w:ascii="仿宋" w:hAnsi="仿宋" w:eastAsia="仿宋"/>
          <w:sz w:val="24"/>
          <w:szCs w:val="24"/>
        </w:rPr>
        <w:t>33001649335050002860</w:t>
      </w:r>
      <w:r>
        <w:rPr>
          <w:rFonts w:hint="eastAsia" w:ascii="仿宋" w:hAnsi="仿宋" w:eastAsia="仿宋"/>
          <w:sz w:val="24"/>
          <w:szCs w:val="24"/>
        </w:rPr>
        <w:t>。</w:t>
      </w:r>
      <w:r>
        <w:rPr>
          <w:rFonts w:ascii="仿宋" w:hAnsi="仿宋" w:eastAsia="仿宋"/>
          <w:sz w:val="24"/>
          <w:szCs w:val="24"/>
        </w:rPr>
        <w:t>统一社会信用代码：123305004711725032</w:t>
      </w:r>
      <w:r>
        <w:rPr>
          <w:rFonts w:hint="eastAsia" w:ascii="仿宋" w:hAnsi="仿宋" w:eastAsia="仿宋"/>
          <w:sz w:val="24"/>
          <w:szCs w:val="24"/>
        </w:rPr>
        <w:t>。地址、电话：湖州市二环东路759号，0572-2321567。</w:t>
      </w:r>
    </w:p>
    <w:p>
      <w:pPr>
        <w:ind w:firstLine="472" w:firstLineChars="196"/>
        <w:jc w:val="left"/>
        <w:rPr>
          <w:rFonts w:ascii="仿宋" w:hAnsi="仿宋" w:eastAsia="仿宋"/>
          <w:b/>
          <w:sz w:val="24"/>
          <w:szCs w:val="24"/>
        </w:rPr>
      </w:pPr>
      <w:r>
        <w:rPr>
          <w:rFonts w:hint="eastAsia" w:ascii="仿宋" w:hAnsi="仿宋" w:eastAsia="仿宋"/>
          <w:b/>
          <w:sz w:val="24"/>
          <w:szCs w:val="24"/>
        </w:rPr>
        <w:t>八、付款方式</w:t>
      </w:r>
    </w:p>
    <w:p>
      <w:pPr>
        <w:ind w:firstLine="480" w:firstLineChars="200"/>
        <w:contextualSpacing/>
        <w:jc w:val="left"/>
        <w:rPr>
          <w:rFonts w:ascii="仿宋" w:hAnsi="仿宋" w:eastAsia="仿宋" w:cs="Times New Roman"/>
          <w:color w:val="0000FF"/>
          <w:sz w:val="24"/>
        </w:rPr>
      </w:pPr>
      <w:r>
        <w:rPr>
          <w:rFonts w:hint="eastAsia" w:ascii="仿宋" w:hAnsi="仿宋" w:eastAsia="仿宋" w:cs="Times New Roman"/>
          <w:sz w:val="24"/>
        </w:rPr>
        <w:t>本项目验收合格后，若无质量问题，中标人开具全额发票，</w:t>
      </w:r>
      <w:r>
        <w:rPr>
          <w:rFonts w:hint="eastAsia" w:ascii="仿宋" w:hAnsi="仿宋" w:eastAsia="仿宋" w:cs="Times New Roman"/>
          <w:color w:val="0000FF"/>
          <w:sz w:val="24"/>
        </w:rPr>
        <w:t>采购人</w:t>
      </w:r>
      <w:r>
        <w:rPr>
          <w:rFonts w:hint="eastAsia" w:ascii="仿宋" w:hAnsi="仿宋" w:eastAsia="仿宋" w:cs="Times New Roman"/>
          <w:color w:val="0000FF"/>
          <w:sz w:val="24"/>
          <w:lang w:val="en-US" w:eastAsia="zh-CN"/>
        </w:rPr>
        <w:t>原则上</w:t>
      </w:r>
      <w:r>
        <w:rPr>
          <w:rFonts w:hint="eastAsia" w:ascii="仿宋" w:hAnsi="仿宋" w:eastAsia="仿宋" w:cs="Times New Roman"/>
          <w:color w:val="0000FF"/>
          <w:sz w:val="24"/>
        </w:rPr>
        <w:t>于14个工作日</w:t>
      </w:r>
      <w:r>
        <w:rPr>
          <w:rFonts w:hint="eastAsia" w:ascii="仿宋" w:hAnsi="仿宋" w:eastAsia="仿宋" w:cs="Times New Roman"/>
          <w:color w:val="0000FF"/>
          <w:sz w:val="24"/>
          <w:lang w:eastAsia="zh-CN"/>
        </w:rPr>
        <w:t>（</w:t>
      </w:r>
      <w:r>
        <w:rPr>
          <w:rFonts w:hint="eastAsia" w:ascii="仿宋" w:hAnsi="仿宋" w:eastAsia="仿宋" w:cs="Times New Roman"/>
          <w:color w:val="0000FF"/>
          <w:sz w:val="24"/>
          <w:lang w:val="en-US" w:eastAsia="zh-CN"/>
        </w:rPr>
        <w:t>如遇特殊情况可顺延</w:t>
      </w:r>
      <w:r>
        <w:rPr>
          <w:rFonts w:hint="eastAsia" w:ascii="仿宋" w:hAnsi="仿宋" w:eastAsia="仿宋" w:cs="Times New Roman"/>
          <w:color w:val="0000FF"/>
          <w:sz w:val="24"/>
          <w:lang w:eastAsia="zh-CN"/>
        </w:rPr>
        <w:t>）</w:t>
      </w:r>
      <w:r>
        <w:rPr>
          <w:rFonts w:hint="eastAsia" w:ascii="仿宋" w:hAnsi="仿宋" w:eastAsia="仿宋" w:cs="Times New Roman"/>
          <w:color w:val="0000FF"/>
          <w:sz w:val="24"/>
        </w:rPr>
        <w:t>内全额支付货款。</w:t>
      </w:r>
    </w:p>
    <w:p>
      <w:pPr>
        <w:ind w:firstLine="472" w:firstLineChars="196"/>
        <w:jc w:val="left"/>
        <w:rPr>
          <w:rFonts w:ascii="仿宋" w:hAnsi="仿宋" w:eastAsia="仿宋"/>
          <w:b/>
          <w:sz w:val="24"/>
          <w:szCs w:val="24"/>
        </w:rPr>
      </w:pPr>
      <w:r>
        <w:rPr>
          <w:rFonts w:hint="eastAsia" w:ascii="仿宋" w:hAnsi="仿宋" w:eastAsia="仿宋"/>
          <w:b/>
          <w:sz w:val="24"/>
          <w:szCs w:val="24"/>
        </w:rPr>
        <w:t>九、其他事项</w:t>
      </w:r>
    </w:p>
    <w:p>
      <w:pPr>
        <w:ind w:firstLine="480" w:firstLineChars="200"/>
        <w:jc w:val="left"/>
        <w:rPr>
          <w:rFonts w:ascii="仿宋" w:hAnsi="仿宋" w:eastAsia="仿宋"/>
          <w:sz w:val="24"/>
          <w:szCs w:val="24"/>
        </w:rPr>
      </w:pPr>
      <w:r>
        <w:rPr>
          <w:rFonts w:hint="eastAsia" w:ascii="仿宋" w:hAnsi="仿宋" w:eastAsia="仿宋"/>
          <w:sz w:val="24"/>
          <w:szCs w:val="24"/>
        </w:rPr>
        <w:t>1.完成时间：2021年12月30日。</w:t>
      </w:r>
    </w:p>
    <w:p>
      <w:pPr>
        <w:ind w:firstLine="480" w:firstLineChars="200"/>
        <w:jc w:val="left"/>
        <w:rPr>
          <w:rFonts w:ascii="仿宋" w:hAnsi="仿宋" w:eastAsia="仿宋"/>
          <w:sz w:val="24"/>
          <w:szCs w:val="24"/>
        </w:rPr>
      </w:pPr>
      <w:r>
        <w:rPr>
          <w:rFonts w:hint="eastAsia" w:ascii="仿宋" w:hAnsi="仿宋" w:eastAsia="仿宋"/>
          <w:sz w:val="24"/>
          <w:szCs w:val="24"/>
        </w:rPr>
        <w:t>2.质保期：10年，自验收合格之日起计算，质保期内包换。</w:t>
      </w:r>
    </w:p>
    <w:p>
      <w:pPr>
        <w:ind w:firstLine="480" w:firstLineChars="200"/>
        <w:jc w:val="left"/>
        <w:rPr>
          <w:rFonts w:ascii="仿宋" w:hAnsi="仿宋" w:eastAsia="仿宋"/>
          <w:sz w:val="24"/>
          <w:szCs w:val="24"/>
        </w:rPr>
      </w:pPr>
      <w:r>
        <w:rPr>
          <w:rFonts w:hint="eastAsia" w:ascii="仿宋" w:hAnsi="仿宋" w:eastAsia="仿宋"/>
          <w:sz w:val="24"/>
          <w:szCs w:val="24"/>
        </w:rPr>
        <w:t>3.服务响应时间：接到采购人报修通知后，48小时内提供现场服务。</w:t>
      </w:r>
    </w:p>
    <w:p>
      <w:pPr>
        <w:ind w:firstLine="480" w:firstLineChars="200"/>
        <w:jc w:val="left"/>
        <w:rPr>
          <w:rFonts w:ascii="仿宋" w:hAnsi="仿宋" w:eastAsia="仿宋"/>
          <w:sz w:val="24"/>
          <w:szCs w:val="24"/>
        </w:rPr>
      </w:pPr>
      <w:r>
        <w:rPr>
          <w:rFonts w:hint="eastAsia" w:ascii="仿宋" w:hAnsi="仿宋" w:eastAsia="仿宋"/>
          <w:sz w:val="24"/>
          <w:szCs w:val="24"/>
        </w:rPr>
        <w:t>4.服务内容：标本缸破损修复（包括单件损坏）；定期更换保存液；</w:t>
      </w:r>
    </w:p>
    <w:p>
      <w:pPr>
        <w:ind w:firstLine="720" w:firstLineChars="300"/>
        <w:jc w:val="left"/>
        <w:rPr>
          <w:rFonts w:ascii="仿宋" w:hAnsi="仿宋" w:eastAsia="仿宋"/>
          <w:sz w:val="24"/>
          <w:szCs w:val="24"/>
        </w:rPr>
      </w:pPr>
      <w:r>
        <w:rPr>
          <w:rFonts w:hint="eastAsia" w:ascii="仿宋" w:hAnsi="仿宋" w:eastAsia="仿宋"/>
          <w:sz w:val="24"/>
          <w:szCs w:val="24"/>
        </w:rPr>
        <w:t>二维码内容更新；质保期内破损标本更换；使用年限到期按评估价回收。</w:t>
      </w:r>
    </w:p>
    <w:p>
      <w:pPr>
        <w:ind w:firstLine="472" w:firstLineChars="196"/>
        <w:jc w:val="left"/>
        <w:rPr>
          <w:rFonts w:ascii="仿宋" w:hAnsi="仿宋" w:eastAsia="仿宋"/>
          <w:b/>
          <w:sz w:val="24"/>
        </w:rPr>
      </w:pPr>
      <w:r>
        <w:rPr>
          <w:rFonts w:hint="eastAsia" w:ascii="仿宋" w:hAnsi="仿宋" w:eastAsia="仿宋"/>
          <w:b/>
          <w:sz w:val="24"/>
        </w:rPr>
        <w:t>附件一：</w:t>
      </w:r>
      <w:r>
        <w:rPr>
          <w:rFonts w:ascii="仿宋" w:hAnsi="仿宋" w:eastAsia="仿宋"/>
          <w:b/>
          <w:sz w:val="24"/>
        </w:rPr>
        <w:t>投标报价</w:t>
      </w:r>
      <w:r>
        <w:rPr>
          <w:rFonts w:hint="eastAsia" w:ascii="仿宋" w:hAnsi="仿宋" w:eastAsia="仿宋"/>
          <w:b/>
          <w:sz w:val="24"/>
        </w:rPr>
        <w:t>清单。</w:t>
      </w:r>
    </w:p>
    <w:p>
      <w:pPr>
        <w:ind w:firstLine="470" w:firstLineChars="196"/>
        <w:jc w:val="left"/>
        <w:rPr>
          <w:rFonts w:ascii="仿宋" w:hAnsi="仿宋" w:eastAsia="仿宋"/>
          <w:sz w:val="24"/>
          <w:szCs w:val="24"/>
        </w:rPr>
      </w:pPr>
    </w:p>
    <w:p>
      <w:pPr>
        <w:ind w:firstLine="470" w:firstLineChars="196"/>
        <w:jc w:val="left"/>
        <w:rPr>
          <w:rFonts w:ascii="仿宋" w:hAnsi="仿宋" w:eastAsia="仿宋"/>
          <w:sz w:val="24"/>
          <w:szCs w:val="24"/>
        </w:rPr>
      </w:pPr>
    </w:p>
    <w:p>
      <w:pPr>
        <w:ind w:right="480" w:firstLine="4819" w:firstLineChars="2000"/>
        <w:rPr>
          <w:rFonts w:ascii="仿宋" w:hAnsi="仿宋" w:eastAsia="仿宋"/>
          <w:b/>
          <w:sz w:val="24"/>
          <w:szCs w:val="24"/>
        </w:rPr>
      </w:pPr>
      <w:r>
        <w:rPr>
          <w:rFonts w:hint="eastAsia" w:ascii="仿宋" w:hAnsi="仿宋" w:eastAsia="仿宋"/>
          <w:b/>
          <w:sz w:val="24"/>
          <w:szCs w:val="24"/>
        </w:rPr>
        <w:t xml:space="preserve">湖州师范学院采购中心 </w:t>
      </w:r>
    </w:p>
    <w:p>
      <w:pPr>
        <w:ind w:right="480" w:firstLine="5180" w:firstLineChars="2150"/>
        <w:rPr>
          <w:rFonts w:ascii="黑体" w:hAnsi="黑体" w:eastAsia="黑体"/>
        </w:rPr>
      </w:pPr>
      <w:r>
        <w:rPr>
          <w:rFonts w:hint="eastAsia" w:ascii="仿宋" w:hAnsi="仿宋" w:eastAsia="仿宋"/>
          <w:b/>
          <w:sz w:val="24"/>
          <w:szCs w:val="24"/>
        </w:rPr>
        <w:t>2021年11月</w:t>
      </w:r>
      <w:r>
        <w:rPr>
          <w:rFonts w:hint="eastAsia" w:ascii="仿宋" w:hAnsi="仿宋" w:eastAsia="仿宋"/>
          <w:b/>
          <w:sz w:val="24"/>
          <w:szCs w:val="24"/>
          <w:lang w:val="en-US" w:eastAsia="zh-CN"/>
        </w:rPr>
        <w:t>29</w:t>
      </w:r>
      <w:r>
        <w:rPr>
          <w:rFonts w:hint="eastAsia" w:ascii="仿宋" w:hAnsi="仿宋" w:eastAsia="仿宋"/>
          <w:b/>
          <w:sz w:val="24"/>
          <w:szCs w:val="24"/>
        </w:rPr>
        <w:t>日</w:t>
      </w:r>
    </w:p>
    <w:p>
      <w:pPr>
        <w:pStyle w:val="4"/>
        <w:snapToGrid w:val="0"/>
        <w:spacing w:beforeLines="0" w:afterLines="0" w:line="240" w:lineRule="auto"/>
        <w:jc w:val="left"/>
        <w:rPr>
          <w:rFonts w:ascii="黑体" w:hAnsi="黑体" w:eastAsia="黑体"/>
        </w:rPr>
      </w:pPr>
    </w:p>
    <w:p>
      <w:pPr>
        <w:pStyle w:val="4"/>
        <w:snapToGrid w:val="0"/>
        <w:spacing w:beforeLines="0" w:afterLines="0" w:line="240" w:lineRule="auto"/>
        <w:jc w:val="left"/>
        <w:rPr>
          <w:rFonts w:ascii="黑体" w:hAnsi="黑体" w:eastAsia="黑体"/>
        </w:rPr>
      </w:pPr>
    </w:p>
    <w:p>
      <w:pPr>
        <w:pStyle w:val="4"/>
        <w:snapToGrid w:val="0"/>
        <w:spacing w:beforeLines="0" w:afterLines="0" w:line="240" w:lineRule="auto"/>
        <w:jc w:val="left"/>
        <w:rPr>
          <w:rFonts w:ascii="黑体" w:hAnsi="黑体" w:eastAsia="黑体"/>
        </w:rPr>
      </w:pPr>
    </w:p>
    <w:p>
      <w:pPr>
        <w:pStyle w:val="4"/>
        <w:snapToGrid w:val="0"/>
        <w:spacing w:beforeLines="0" w:afterLines="0" w:line="240" w:lineRule="auto"/>
        <w:jc w:val="left"/>
        <w:rPr>
          <w:rFonts w:ascii="黑体" w:hAnsi="黑体" w:eastAsia="黑体"/>
          <w:color w:val="000000"/>
        </w:rPr>
      </w:pPr>
      <w:r>
        <w:rPr>
          <w:rFonts w:hint="eastAsia" w:ascii="黑体" w:hAnsi="黑体" w:eastAsia="黑体"/>
        </w:rPr>
        <w:t>附件一：</w:t>
      </w:r>
      <w:r>
        <w:rPr>
          <w:rFonts w:ascii="黑体" w:hAnsi="黑体" w:eastAsia="黑体"/>
        </w:rPr>
        <w:t>投标报价</w:t>
      </w:r>
      <w:r>
        <w:rPr>
          <w:rFonts w:hint="eastAsia" w:ascii="黑体" w:hAnsi="黑体" w:eastAsia="黑体"/>
        </w:rPr>
        <w:t>清单（格式根据货物清单）</w:t>
      </w:r>
    </w:p>
    <w:p>
      <w:pPr>
        <w:snapToGrid w:val="0"/>
        <w:spacing w:before="50" w:after="50"/>
        <w:jc w:val="center"/>
        <w:rPr>
          <w:rFonts w:ascii="仿宋" w:hAnsi="仿宋" w:eastAsia="仿宋"/>
          <w:b/>
          <w:sz w:val="24"/>
        </w:rPr>
      </w:pPr>
      <w:r>
        <w:rPr>
          <w:rFonts w:hint="eastAsia" w:ascii="仿宋" w:hAnsi="仿宋" w:eastAsia="仿宋"/>
          <w:b/>
          <w:sz w:val="24"/>
        </w:rPr>
        <w:t>投标报价</w:t>
      </w:r>
      <w:r>
        <w:rPr>
          <w:rFonts w:hint="eastAsia" w:ascii="仿宋" w:hAnsi="仿宋" w:eastAsia="仿宋"/>
          <w:b/>
          <w:color w:val="000000" w:themeColor="text1"/>
          <w:sz w:val="24"/>
        </w:rPr>
        <w:t>清</w:t>
      </w:r>
      <w:r>
        <w:rPr>
          <w:rFonts w:hint="eastAsia" w:ascii="仿宋" w:hAnsi="仿宋" w:eastAsia="仿宋"/>
          <w:b/>
          <w:sz w:val="24"/>
        </w:rPr>
        <w:t>单</w:t>
      </w:r>
    </w:p>
    <w:p>
      <w:pPr>
        <w:jc w:val="left"/>
        <w:rPr>
          <w:rFonts w:ascii="仿宋" w:hAnsi="仿宋" w:eastAsia="仿宋"/>
          <w:b/>
          <w:sz w:val="24"/>
        </w:rPr>
      </w:pPr>
      <w:r>
        <w:rPr>
          <w:rFonts w:hint="eastAsia" w:ascii="仿宋" w:hAnsi="仿宋" w:eastAsia="仿宋"/>
          <w:b/>
          <w:sz w:val="24"/>
        </w:rPr>
        <w:t>采购项目名称：湖州师范学院医学院基础医学实验中心陈列标本技术服务项目</w:t>
      </w:r>
    </w:p>
    <w:p>
      <w:pPr>
        <w:jc w:val="left"/>
        <w:rPr>
          <w:rFonts w:ascii="仿宋" w:hAnsi="仿宋" w:eastAsia="仿宋"/>
          <w:b/>
          <w:sz w:val="24"/>
          <w:szCs w:val="24"/>
        </w:rPr>
      </w:pPr>
      <w:r>
        <w:rPr>
          <w:rFonts w:hint="eastAsia" w:ascii="仿宋" w:hAnsi="仿宋" w:eastAsia="仿宋"/>
          <w:b/>
          <w:sz w:val="24"/>
        </w:rPr>
        <w:t>采购项目编号：</w:t>
      </w:r>
      <w:r>
        <w:rPr>
          <w:rFonts w:hint="eastAsia" w:ascii="仿宋" w:hAnsi="仿宋" w:eastAsia="仿宋"/>
          <w:b/>
          <w:sz w:val="24"/>
          <w:szCs w:val="24"/>
        </w:rPr>
        <w:t>XZ2021-134</w:t>
      </w:r>
    </w:p>
    <w:p>
      <w:pPr>
        <w:rPr>
          <w:rFonts w:ascii="仿宋" w:hAnsi="仿宋" w:eastAsia="仿宋"/>
          <w:color w:val="000000"/>
          <w:sz w:val="24"/>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293"/>
        <w:gridCol w:w="2902"/>
        <w:gridCol w:w="878"/>
        <w:gridCol w:w="936"/>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Pr>
          <w:p>
            <w:pPr>
              <w:rPr>
                <w:rFonts w:ascii="仿宋" w:hAnsi="仿宋" w:eastAsia="仿宋"/>
                <w:color w:val="000000"/>
                <w:sz w:val="24"/>
              </w:rPr>
            </w:pPr>
            <w:r>
              <w:rPr>
                <w:rFonts w:hint="eastAsia" w:ascii="仿宋" w:hAnsi="仿宋" w:eastAsia="仿宋"/>
                <w:color w:val="000000"/>
                <w:sz w:val="24"/>
              </w:rPr>
              <w:t>序号</w:t>
            </w:r>
          </w:p>
        </w:tc>
        <w:tc>
          <w:tcPr>
            <w:tcW w:w="1293" w:type="dxa"/>
          </w:tcPr>
          <w:p>
            <w:pPr>
              <w:rPr>
                <w:rFonts w:ascii="仿宋" w:hAnsi="仿宋" w:eastAsia="仿宋"/>
                <w:color w:val="000000"/>
                <w:sz w:val="24"/>
              </w:rPr>
            </w:pPr>
            <w:r>
              <w:rPr>
                <w:rFonts w:hint="eastAsia" w:ascii="仿宋" w:hAnsi="仿宋" w:eastAsia="仿宋"/>
                <w:color w:val="000000"/>
                <w:sz w:val="24"/>
              </w:rPr>
              <w:t>名称</w:t>
            </w:r>
          </w:p>
        </w:tc>
        <w:tc>
          <w:tcPr>
            <w:tcW w:w="2902" w:type="dxa"/>
          </w:tcPr>
          <w:p>
            <w:pPr>
              <w:rPr>
                <w:rFonts w:ascii="仿宋" w:hAnsi="仿宋" w:eastAsia="仿宋"/>
                <w:color w:val="000000"/>
                <w:sz w:val="24"/>
              </w:rPr>
            </w:pPr>
            <w:r>
              <w:rPr>
                <w:rFonts w:hint="eastAsia" w:ascii="仿宋" w:hAnsi="仿宋" w:eastAsia="仿宋"/>
                <w:color w:val="000000"/>
                <w:sz w:val="24"/>
              </w:rPr>
              <w:t>技术参数</w:t>
            </w:r>
          </w:p>
        </w:tc>
        <w:tc>
          <w:tcPr>
            <w:tcW w:w="878" w:type="dxa"/>
          </w:tcPr>
          <w:p>
            <w:pPr>
              <w:rPr>
                <w:rFonts w:ascii="仿宋" w:hAnsi="仿宋" w:eastAsia="仿宋"/>
                <w:color w:val="000000"/>
                <w:sz w:val="24"/>
              </w:rPr>
            </w:pPr>
            <w:r>
              <w:rPr>
                <w:rFonts w:hint="eastAsia" w:ascii="仿宋" w:hAnsi="仿宋" w:eastAsia="仿宋"/>
                <w:color w:val="000000"/>
                <w:sz w:val="24"/>
              </w:rPr>
              <w:t>数量</w:t>
            </w:r>
          </w:p>
        </w:tc>
        <w:tc>
          <w:tcPr>
            <w:tcW w:w="936" w:type="dxa"/>
          </w:tcPr>
          <w:p>
            <w:pPr>
              <w:rPr>
                <w:rFonts w:ascii="仿宋" w:hAnsi="仿宋" w:eastAsia="仿宋"/>
                <w:color w:val="000000"/>
                <w:sz w:val="24"/>
              </w:rPr>
            </w:pPr>
            <w:r>
              <w:rPr>
                <w:rFonts w:hint="eastAsia" w:ascii="仿宋" w:hAnsi="仿宋" w:eastAsia="仿宋"/>
                <w:color w:val="000000"/>
                <w:sz w:val="24"/>
              </w:rPr>
              <w:t>单价（元）</w:t>
            </w:r>
          </w:p>
        </w:tc>
        <w:tc>
          <w:tcPr>
            <w:tcW w:w="936" w:type="dxa"/>
          </w:tcPr>
          <w:p>
            <w:pPr>
              <w:rPr>
                <w:rFonts w:ascii="仿宋" w:hAnsi="仿宋" w:eastAsia="仿宋"/>
                <w:color w:val="000000"/>
                <w:sz w:val="24"/>
              </w:rPr>
            </w:pPr>
            <w:r>
              <w:rPr>
                <w:rFonts w:hint="eastAsia" w:ascii="仿宋" w:hAnsi="仿宋" w:eastAsia="仿宋"/>
                <w:color w:val="000000"/>
                <w:sz w:val="24"/>
              </w:rPr>
              <w:t>总价</w:t>
            </w:r>
          </w:p>
          <w:p>
            <w:pPr>
              <w:rPr>
                <w:rFonts w:ascii="仿宋" w:hAnsi="仿宋" w:eastAsia="仿宋"/>
                <w:color w:val="000000"/>
                <w:sz w:val="24"/>
              </w:rPr>
            </w:pPr>
            <w:r>
              <w:rPr>
                <w:rFonts w:hint="eastAsia" w:ascii="仿宋" w:hAnsi="仿宋" w:eastAsia="仿宋"/>
                <w:color w:val="00000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6" w:type="dxa"/>
          </w:tcPr>
          <w:p>
            <w:pPr>
              <w:rPr>
                <w:rFonts w:ascii="仿宋" w:hAnsi="仿宋" w:eastAsia="仿宋"/>
                <w:color w:val="000000"/>
                <w:sz w:val="24"/>
              </w:rPr>
            </w:pPr>
            <w:r>
              <w:rPr>
                <w:rFonts w:hint="eastAsia" w:ascii="仿宋" w:hAnsi="仿宋" w:eastAsia="仿宋"/>
                <w:color w:val="000000"/>
                <w:sz w:val="24"/>
              </w:rPr>
              <w:t>1</w:t>
            </w:r>
          </w:p>
        </w:tc>
        <w:tc>
          <w:tcPr>
            <w:tcW w:w="1293" w:type="dxa"/>
          </w:tcPr>
          <w:p>
            <w:pPr>
              <w:rPr>
                <w:rFonts w:ascii="仿宋" w:hAnsi="仿宋" w:eastAsia="仿宋"/>
                <w:color w:val="000000"/>
                <w:sz w:val="24"/>
              </w:rPr>
            </w:pPr>
          </w:p>
        </w:tc>
        <w:tc>
          <w:tcPr>
            <w:tcW w:w="2902" w:type="dxa"/>
          </w:tcPr>
          <w:p>
            <w:pPr>
              <w:rPr>
                <w:rFonts w:ascii="仿宋" w:hAnsi="仿宋" w:eastAsia="仿宋"/>
                <w:color w:val="000000"/>
                <w:sz w:val="24"/>
              </w:rPr>
            </w:pPr>
          </w:p>
        </w:tc>
        <w:tc>
          <w:tcPr>
            <w:tcW w:w="878" w:type="dxa"/>
          </w:tcPr>
          <w:p>
            <w:pPr>
              <w:rPr>
                <w:rFonts w:ascii="仿宋" w:hAnsi="仿宋" w:eastAsia="仿宋"/>
                <w:color w:val="000000"/>
                <w:sz w:val="24"/>
              </w:rPr>
            </w:pPr>
          </w:p>
        </w:tc>
        <w:tc>
          <w:tcPr>
            <w:tcW w:w="936" w:type="dxa"/>
          </w:tcPr>
          <w:p>
            <w:pPr>
              <w:rPr>
                <w:rFonts w:ascii="仿宋" w:hAnsi="仿宋" w:eastAsia="仿宋"/>
                <w:color w:val="000000"/>
                <w:sz w:val="24"/>
              </w:rPr>
            </w:pPr>
          </w:p>
        </w:tc>
        <w:tc>
          <w:tcPr>
            <w:tcW w:w="936" w:type="dxa"/>
          </w:tcPr>
          <w:p>
            <w:pP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36" w:type="dxa"/>
          </w:tcPr>
          <w:p>
            <w:pPr>
              <w:rPr>
                <w:rFonts w:ascii="仿宋" w:hAnsi="仿宋" w:eastAsia="仿宋"/>
                <w:color w:val="000000"/>
                <w:sz w:val="24"/>
              </w:rPr>
            </w:pPr>
            <w:r>
              <w:rPr>
                <w:rFonts w:hint="eastAsia" w:ascii="仿宋" w:hAnsi="仿宋" w:eastAsia="仿宋"/>
                <w:color w:val="000000"/>
                <w:sz w:val="24"/>
              </w:rPr>
              <w:t>2</w:t>
            </w:r>
          </w:p>
        </w:tc>
        <w:tc>
          <w:tcPr>
            <w:tcW w:w="1293" w:type="dxa"/>
          </w:tcPr>
          <w:p>
            <w:pPr>
              <w:rPr>
                <w:rFonts w:ascii="仿宋" w:hAnsi="仿宋" w:eastAsia="仿宋"/>
                <w:color w:val="000000"/>
                <w:sz w:val="24"/>
              </w:rPr>
            </w:pPr>
          </w:p>
        </w:tc>
        <w:tc>
          <w:tcPr>
            <w:tcW w:w="2902" w:type="dxa"/>
          </w:tcPr>
          <w:p>
            <w:pPr>
              <w:rPr>
                <w:rFonts w:ascii="仿宋" w:hAnsi="仿宋" w:eastAsia="仿宋"/>
                <w:color w:val="000000"/>
                <w:sz w:val="24"/>
              </w:rPr>
            </w:pPr>
          </w:p>
        </w:tc>
        <w:tc>
          <w:tcPr>
            <w:tcW w:w="878" w:type="dxa"/>
          </w:tcPr>
          <w:p>
            <w:pPr>
              <w:rPr>
                <w:rFonts w:ascii="仿宋" w:hAnsi="仿宋" w:eastAsia="仿宋"/>
                <w:color w:val="000000"/>
                <w:sz w:val="24"/>
              </w:rPr>
            </w:pPr>
          </w:p>
        </w:tc>
        <w:tc>
          <w:tcPr>
            <w:tcW w:w="936" w:type="dxa"/>
          </w:tcPr>
          <w:p>
            <w:pPr>
              <w:rPr>
                <w:rFonts w:ascii="仿宋" w:hAnsi="仿宋" w:eastAsia="仿宋"/>
                <w:color w:val="000000"/>
                <w:sz w:val="24"/>
              </w:rPr>
            </w:pPr>
          </w:p>
        </w:tc>
        <w:tc>
          <w:tcPr>
            <w:tcW w:w="936" w:type="dxa"/>
          </w:tcPr>
          <w:p>
            <w:pP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36" w:type="dxa"/>
          </w:tcPr>
          <w:p>
            <w:pPr>
              <w:rPr>
                <w:rFonts w:ascii="仿宋" w:hAnsi="仿宋" w:eastAsia="仿宋"/>
                <w:color w:val="000000"/>
                <w:sz w:val="24"/>
              </w:rPr>
            </w:pPr>
            <w:r>
              <w:rPr>
                <w:rFonts w:hint="eastAsia" w:ascii="仿宋" w:hAnsi="仿宋" w:eastAsia="仿宋"/>
                <w:color w:val="000000"/>
                <w:sz w:val="24"/>
              </w:rPr>
              <w:t>......</w:t>
            </w:r>
          </w:p>
        </w:tc>
        <w:tc>
          <w:tcPr>
            <w:tcW w:w="1293" w:type="dxa"/>
          </w:tcPr>
          <w:p>
            <w:pPr>
              <w:rPr>
                <w:rFonts w:ascii="仿宋" w:hAnsi="仿宋" w:eastAsia="仿宋"/>
                <w:color w:val="000000"/>
                <w:sz w:val="24"/>
              </w:rPr>
            </w:pPr>
          </w:p>
        </w:tc>
        <w:tc>
          <w:tcPr>
            <w:tcW w:w="2902" w:type="dxa"/>
          </w:tcPr>
          <w:p>
            <w:pPr>
              <w:rPr>
                <w:rFonts w:ascii="仿宋" w:hAnsi="仿宋" w:eastAsia="仿宋"/>
                <w:color w:val="000000"/>
                <w:sz w:val="24"/>
              </w:rPr>
            </w:pPr>
          </w:p>
        </w:tc>
        <w:tc>
          <w:tcPr>
            <w:tcW w:w="878" w:type="dxa"/>
          </w:tcPr>
          <w:p>
            <w:pPr>
              <w:rPr>
                <w:rFonts w:ascii="仿宋" w:hAnsi="仿宋" w:eastAsia="仿宋"/>
                <w:color w:val="000000"/>
                <w:sz w:val="24"/>
              </w:rPr>
            </w:pPr>
          </w:p>
        </w:tc>
        <w:tc>
          <w:tcPr>
            <w:tcW w:w="936" w:type="dxa"/>
          </w:tcPr>
          <w:p>
            <w:pPr>
              <w:rPr>
                <w:rFonts w:ascii="仿宋" w:hAnsi="仿宋" w:eastAsia="仿宋"/>
                <w:color w:val="000000"/>
                <w:sz w:val="24"/>
              </w:rPr>
            </w:pPr>
          </w:p>
        </w:tc>
        <w:tc>
          <w:tcPr>
            <w:tcW w:w="936" w:type="dxa"/>
          </w:tcPr>
          <w:p>
            <w:pP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131" w:type="dxa"/>
            <w:gridSpan w:val="3"/>
          </w:tcPr>
          <w:p>
            <w:pPr>
              <w:rPr>
                <w:rFonts w:ascii="仿宋" w:hAnsi="仿宋" w:eastAsia="仿宋"/>
                <w:color w:val="000000"/>
                <w:sz w:val="24"/>
              </w:rPr>
            </w:pPr>
          </w:p>
          <w:p>
            <w:pPr>
              <w:rPr>
                <w:rFonts w:ascii="仿宋" w:hAnsi="仿宋" w:eastAsia="仿宋"/>
                <w:color w:val="000000"/>
                <w:sz w:val="24"/>
              </w:rPr>
            </w:pPr>
            <w:r>
              <w:rPr>
                <w:rFonts w:hint="eastAsia" w:ascii="仿宋" w:hAnsi="仿宋" w:eastAsia="仿宋"/>
                <w:color w:val="000000"/>
                <w:sz w:val="24"/>
              </w:rPr>
              <w:t>合计：人民币</w:t>
            </w:r>
            <w:r>
              <w:rPr>
                <w:rFonts w:hint="eastAsia" w:ascii="仿宋" w:hAnsi="仿宋" w:eastAsia="仿宋"/>
                <w:color w:val="000000"/>
                <w:sz w:val="24"/>
                <w:u w:val="single"/>
              </w:rPr>
              <w:t xml:space="preserve">                        元</w:t>
            </w:r>
          </w:p>
          <w:p>
            <w:pPr>
              <w:rPr>
                <w:rFonts w:ascii="仿宋" w:hAnsi="仿宋" w:eastAsia="仿宋"/>
                <w:color w:val="000000"/>
                <w:sz w:val="24"/>
              </w:rPr>
            </w:pPr>
          </w:p>
        </w:tc>
        <w:tc>
          <w:tcPr>
            <w:tcW w:w="2750" w:type="dxa"/>
            <w:gridSpan w:val="3"/>
          </w:tcPr>
          <w:p>
            <w:pPr>
              <w:rPr>
                <w:rFonts w:ascii="仿宋" w:hAnsi="仿宋" w:eastAsia="仿宋"/>
                <w:color w:val="000000"/>
                <w:sz w:val="24"/>
              </w:rPr>
            </w:pPr>
          </w:p>
          <w:p>
            <w:pPr>
              <w:rPr>
                <w:rFonts w:ascii="仿宋" w:hAnsi="仿宋" w:eastAsia="仿宋"/>
                <w:color w:val="000000"/>
                <w:sz w:val="24"/>
                <w:u w:val="single"/>
              </w:rPr>
            </w:pPr>
            <w:r>
              <w:rPr>
                <w:rFonts w:hint="eastAsia" w:ascii="仿宋" w:hAnsi="仿宋" w:eastAsia="仿宋"/>
                <w:color w:val="000000"/>
                <w:sz w:val="24"/>
              </w:rPr>
              <w:t>￥：</w:t>
            </w:r>
            <w:r>
              <w:rPr>
                <w:rFonts w:hint="eastAsia" w:ascii="仿宋" w:hAnsi="仿宋" w:eastAsia="仿宋"/>
                <w:color w:val="000000"/>
                <w:sz w:val="24"/>
                <w:u w:val="single"/>
              </w:rPr>
              <w:t xml:space="preserve">              元</w:t>
            </w:r>
          </w:p>
        </w:tc>
      </w:tr>
    </w:tbl>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r>
        <w:rPr>
          <w:rFonts w:hint="eastAsia" w:ascii="仿宋" w:hAnsi="仿宋" w:eastAsia="仿宋"/>
          <w:color w:val="000000"/>
          <w:sz w:val="24"/>
        </w:rPr>
        <w:t>授权代表签字：                      投标人（公章）：</w:t>
      </w:r>
    </w:p>
    <w:p>
      <w:pPr>
        <w:rPr>
          <w:rFonts w:ascii="仿宋" w:hAnsi="仿宋" w:eastAsia="仿宋"/>
          <w:color w:val="000000"/>
          <w:sz w:val="24"/>
        </w:rPr>
      </w:pPr>
      <w:r>
        <w:rPr>
          <w:rFonts w:hint="eastAsia" w:ascii="仿宋" w:hAnsi="仿宋" w:eastAsia="仿宋"/>
          <w:color w:val="000000"/>
          <w:sz w:val="24"/>
        </w:rPr>
        <w:t>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99622"/>
    </w:sdtPr>
    <w:sdtContent>
      <w:p>
        <w:pPr>
          <w:pStyle w:val="8"/>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F79C6"/>
    <w:rsid w:val="0000101B"/>
    <w:rsid w:val="0000344B"/>
    <w:rsid w:val="00026B17"/>
    <w:rsid w:val="00037BFF"/>
    <w:rsid w:val="00040727"/>
    <w:rsid w:val="00062004"/>
    <w:rsid w:val="00080227"/>
    <w:rsid w:val="00096D9C"/>
    <w:rsid w:val="000B2D3A"/>
    <w:rsid w:val="000C1608"/>
    <w:rsid w:val="000F2CC8"/>
    <w:rsid w:val="00135363"/>
    <w:rsid w:val="0014339F"/>
    <w:rsid w:val="00172FD3"/>
    <w:rsid w:val="001929ED"/>
    <w:rsid w:val="00193521"/>
    <w:rsid w:val="001B1358"/>
    <w:rsid w:val="001E1EC2"/>
    <w:rsid w:val="001E501C"/>
    <w:rsid w:val="00217F50"/>
    <w:rsid w:val="00224EAF"/>
    <w:rsid w:val="002324DE"/>
    <w:rsid w:val="00247196"/>
    <w:rsid w:val="00261301"/>
    <w:rsid w:val="002673A6"/>
    <w:rsid w:val="002757BC"/>
    <w:rsid w:val="002A0EDF"/>
    <w:rsid w:val="002C07FB"/>
    <w:rsid w:val="002D68AB"/>
    <w:rsid w:val="002F51B7"/>
    <w:rsid w:val="00301360"/>
    <w:rsid w:val="00305B39"/>
    <w:rsid w:val="00311146"/>
    <w:rsid w:val="00333C6F"/>
    <w:rsid w:val="00336305"/>
    <w:rsid w:val="00337C95"/>
    <w:rsid w:val="0035464D"/>
    <w:rsid w:val="0036356D"/>
    <w:rsid w:val="00386CB1"/>
    <w:rsid w:val="003871A6"/>
    <w:rsid w:val="003926C0"/>
    <w:rsid w:val="003D07E1"/>
    <w:rsid w:val="0041574A"/>
    <w:rsid w:val="0041651E"/>
    <w:rsid w:val="0044242C"/>
    <w:rsid w:val="00463B0D"/>
    <w:rsid w:val="00464417"/>
    <w:rsid w:val="00464E45"/>
    <w:rsid w:val="004743A6"/>
    <w:rsid w:val="004771E6"/>
    <w:rsid w:val="004916EC"/>
    <w:rsid w:val="004B117E"/>
    <w:rsid w:val="00514CBE"/>
    <w:rsid w:val="005178C9"/>
    <w:rsid w:val="00552964"/>
    <w:rsid w:val="0056747D"/>
    <w:rsid w:val="00572531"/>
    <w:rsid w:val="00575467"/>
    <w:rsid w:val="0058369B"/>
    <w:rsid w:val="005863C8"/>
    <w:rsid w:val="00596AD4"/>
    <w:rsid w:val="005A604D"/>
    <w:rsid w:val="005B3C0F"/>
    <w:rsid w:val="005F79C6"/>
    <w:rsid w:val="006110C9"/>
    <w:rsid w:val="00617688"/>
    <w:rsid w:val="00636972"/>
    <w:rsid w:val="00670493"/>
    <w:rsid w:val="006868AF"/>
    <w:rsid w:val="00695F1F"/>
    <w:rsid w:val="006A2FA1"/>
    <w:rsid w:val="006C00D3"/>
    <w:rsid w:val="006F4161"/>
    <w:rsid w:val="006F563E"/>
    <w:rsid w:val="00724DE3"/>
    <w:rsid w:val="007333DD"/>
    <w:rsid w:val="0074168C"/>
    <w:rsid w:val="007801DC"/>
    <w:rsid w:val="007A79E6"/>
    <w:rsid w:val="007B069C"/>
    <w:rsid w:val="007D744C"/>
    <w:rsid w:val="007F1635"/>
    <w:rsid w:val="007F44A6"/>
    <w:rsid w:val="008021A0"/>
    <w:rsid w:val="00802FD7"/>
    <w:rsid w:val="008171CB"/>
    <w:rsid w:val="00832D44"/>
    <w:rsid w:val="00842E99"/>
    <w:rsid w:val="00860F48"/>
    <w:rsid w:val="00865555"/>
    <w:rsid w:val="00884B9C"/>
    <w:rsid w:val="00886E6D"/>
    <w:rsid w:val="00891B5F"/>
    <w:rsid w:val="008D614F"/>
    <w:rsid w:val="009037BD"/>
    <w:rsid w:val="009317C9"/>
    <w:rsid w:val="009511B6"/>
    <w:rsid w:val="009653C3"/>
    <w:rsid w:val="00967075"/>
    <w:rsid w:val="00973234"/>
    <w:rsid w:val="00973402"/>
    <w:rsid w:val="00984C7E"/>
    <w:rsid w:val="009859CA"/>
    <w:rsid w:val="009A10B8"/>
    <w:rsid w:val="009A3BA5"/>
    <w:rsid w:val="009D38F7"/>
    <w:rsid w:val="009F25FD"/>
    <w:rsid w:val="009F44B0"/>
    <w:rsid w:val="00A03183"/>
    <w:rsid w:val="00A04891"/>
    <w:rsid w:val="00A214FF"/>
    <w:rsid w:val="00A277B4"/>
    <w:rsid w:val="00A3047F"/>
    <w:rsid w:val="00A505B1"/>
    <w:rsid w:val="00AC6457"/>
    <w:rsid w:val="00AC6DDF"/>
    <w:rsid w:val="00B1176F"/>
    <w:rsid w:val="00B15E3D"/>
    <w:rsid w:val="00B2132D"/>
    <w:rsid w:val="00B2222E"/>
    <w:rsid w:val="00B40088"/>
    <w:rsid w:val="00B43ED9"/>
    <w:rsid w:val="00B45A2C"/>
    <w:rsid w:val="00B53643"/>
    <w:rsid w:val="00B63316"/>
    <w:rsid w:val="00B76176"/>
    <w:rsid w:val="00B768FA"/>
    <w:rsid w:val="00BA4DF7"/>
    <w:rsid w:val="00BA7478"/>
    <w:rsid w:val="00BB4EDF"/>
    <w:rsid w:val="00BE3CEC"/>
    <w:rsid w:val="00BF5CFA"/>
    <w:rsid w:val="00C043C9"/>
    <w:rsid w:val="00C13DB8"/>
    <w:rsid w:val="00C27D1F"/>
    <w:rsid w:val="00C32334"/>
    <w:rsid w:val="00C439F6"/>
    <w:rsid w:val="00C44089"/>
    <w:rsid w:val="00C820D6"/>
    <w:rsid w:val="00C84FC9"/>
    <w:rsid w:val="00C86509"/>
    <w:rsid w:val="00C90129"/>
    <w:rsid w:val="00CB4269"/>
    <w:rsid w:val="00CE5C69"/>
    <w:rsid w:val="00D06C3E"/>
    <w:rsid w:val="00D2616D"/>
    <w:rsid w:val="00D560F0"/>
    <w:rsid w:val="00D624D3"/>
    <w:rsid w:val="00DB3D67"/>
    <w:rsid w:val="00DC0E93"/>
    <w:rsid w:val="00DC353D"/>
    <w:rsid w:val="00DC72EF"/>
    <w:rsid w:val="00E03991"/>
    <w:rsid w:val="00E0743C"/>
    <w:rsid w:val="00E10C67"/>
    <w:rsid w:val="00E36A24"/>
    <w:rsid w:val="00E42A4F"/>
    <w:rsid w:val="00E52A29"/>
    <w:rsid w:val="00E96D1D"/>
    <w:rsid w:val="00F1571F"/>
    <w:rsid w:val="00F21ACF"/>
    <w:rsid w:val="00F23E21"/>
    <w:rsid w:val="00F46313"/>
    <w:rsid w:val="00F51BDB"/>
    <w:rsid w:val="00F62BA7"/>
    <w:rsid w:val="00F732A0"/>
    <w:rsid w:val="00F9312E"/>
    <w:rsid w:val="00FA7F94"/>
    <w:rsid w:val="00FB70B7"/>
    <w:rsid w:val="00FC04CE"/>
    <w:rsid w:val="00FD1408"/>
    <w:rsid w:val="00FE190A"/>
    <w:rsid w:val="00FF1BCE"/>
    <w:rsid w:val="00FF5869"/>
    <w:rsid w:val="06AE1BD7"/>
    <w:rsid w:val="0AE27F66"/>
    <w:rsid w:val="2014429A"/>
    <w:rsid w:val="2AB538D2"/>
    <w:rsid w:val="3AE73C04"/>
    <w:rsid w:val="41285264"/>
    <w:rsid w:val="449C1788"/>
    <w:rsid w:val="470D29FD"/>
    <w:rsid w:val="485F636A"/>
    <w:rsid w:val="491A430A"/>
    <w:rsid w:val="4A7B6012"/>
    <w:rsid w:val="4CCE6F95"/>
    <w:rsid w:val="5493096A"/>
    <w:rsid w:val="586C7241"/>
    <w:rsid w:val="6678268C"/>
    <w:rsid w:val="786F584D"/>
    <w:rsid w:val="7ABD1C58"/>
    <w:rsid w:val="7BE33E7C"/>
    <w:rsid w:val="7E4931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1"/>
    <w:qFormat/>
    <w:uiPriority w:val="99"/>
    <w:pPr>
      <w:ind w:firstLine="420" w:firstLineChars="100"/>
    </w:pPr>
    <w:rPr>
      <w:rFonts w:eastAsia="宋体"/>
      <w:sz w:val="21"/>
    </w:rPr>
  </w:style>
  <w:style w:type="paragraph" w:styleId="3">
    <w:name w:val="Body Text"/>
    <w:basedOn w:val="1"/>
    <w:next w:val="2"/>
    <w:link w:val="24"/>
    <w:qFormat/>
    <w:uiPriority w:val="0"/>
    <w:pPr>
      <w:spacing w:after="120"/>
    </w:pPr>
    <w:rPr>
      <w:rFonts w:ascii="宋体" w:hAnsi="宋体"/>
      <w:sz w:val="28"/>
      <w:szCs w:val="24"/>
    </w:rPr>
  </w:style>
  <w:style w:type="paragraph" w:styleId="4">
    <w:name w:val="Plain Text"/>
    <w:basedOn w:val="1"/>
    <w:link w:val="21"/>
    <w:qFormat/>
    <w:uiPriority w:val="0"/>
    <w:pPr>
      <w:spacing w:beforeLines="50" w:afterLines="50" w:line="400" w:lineRule="atLeast"/>
    </w:pPr>
    <w:rPr>
      <w:rFonts w:ascii="宋体" w:hAnsi="Courier New"/>
      <w:sz w:val="24"/>
      <w:szCs w:val="24"/>
    </w:rPr>
  </w:style>
  <w:style w:type="paragraph" w:styleId="5">
    <w:name w:val="Date"/>
    <w:basedOn w:val="1"/>
    <w:next w:val="1"/>
    <w:link w:val="19"/>
    <w:semiHidden/>
    <w:unhideWhenUsed/>
    <w:qFormat/>
    <w:uiPriority w:val="99"/>
    <w:pPr>
      <w:ind w:left="100" w:leftChars="2500"/>
    </w:pPr>
  </w:style>
  <w:style w:type="paragraph" w:styleId="6">
    <w:name w:val="Body Text Indent 2"/>
    <w:basedOn w:val="1"/>
    <w:link w:val="14"/>
    <w:qFormat/>
    <w:uiPriority w:val="0"/>
    <w:pPr>
      <w:spacing w:after="120" w:line="480" w:lineRule="auto"/>
      <w:ind w:left="420" w:leftChars="200"/>
    </w:pPr>
    <w:rPr>
      <w:rFonts w:ascii="Times New Roman" w:hAnsi="Times New Roman" w:eastAsia="宋体" w:cs="Times New Roman"/>
      <w:sz w:val="28"/>
      <w:szCs w:val="24"/>
    </w:rPr>
  </w:style>
  <w:style w:type="paragraph" w:styleId="7">
    <w:name w:val="Balloon Text"/>
    <w:basedOn w:val="1"/>
    <w:link w:val="26"/>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_Style 1"/>
    <w:qFormat/>
    <w:uiPriority w:val="0"/>
    <w:rPr>
      <w:rFonts w:ascii="Times New Roman" w:hAnsi="Times New Roman" w:eastAsia="宋体" w:cs="Times New Roman"/>
      <w:kern w:val="2"/>
      <w:sz w:val="28"/>
      <w:szCs w:val="22"/>
      <w:lang w:val="en-US" w:eastAsia="zh-CN" w:bidi="ar-SA"/>
    </w:rPr>
  </w:style>
  <w:style w:type="character" w:customStyle="1" w:styleId="14">
    <w:name w:val="正文文本缩进 2 Char"/>
    <w:basedOn w:val="12"/>
    <w:link w:val="6"/>
    <w:qFormat/>
    <w:uiPriority w:val="0"/>
    <w:rPr>
      <w:rFonts w:ascii="Times New Roman" w:hAnsi="Times New Roman" w:eastAsia="宋体" w:cs="Times New Roman"/>
      <w:sz w:val="28"/>
      <w:szCs w:val="24"/>
    </w:rPr>
  </w:style>
  <w:style w:type="paragraph" w:styleId="15">
    <w:name w:val="List Paragraph"/>
    <w:basedOn w:val="1"/>
    <w:qFormat/>
    <w:uiPriority w:val="1"/>
    <w:pPr>
      <w:ind w:firstLine="420" w:firstLineChars="200"/>
    </w:pPr>
  </w:style>
  <w:style w:type="paragraph" w:customStyle="1" w:styleId="16">
    <w:name w:val="Char1 Char Char Char"/>
    <w:basedOn w:val="1"/>
    <w:qFormat/>
    <w:uiPriority w:val="0"/>
    <w:pPr>
      <w:widowControl/>
      <w:snapToGrid w:val="0"/>
      <w:spacing w:before="120" w:after="160" w:line="360" w:lineRule="auto"/>
      <w:ind w:right="-360"/>
      <w:jc w:val="left"/>
    </w:pPr>
    <w:rPr>
      <w:rFonts w:ascii="仿宋_GB2312" w:hAnsi="Arial" w:eastAsia="仿宋_GB2312" w:cs="Times New Roman"/>
      <w:kern w:val="0"/>
      <w:sz w:val="24"/>
      <w:szCs w:val="24"/>
      <w:lang w:eastAsia="en-US"/>
    </w:rPr>
  </w:style>
  <w:style w:type="character" w:customStyle="1" w:styleId="17">
    <w:name w:val="页眉 Char"/>
    <w:basedOn w:val="12"/>
    <w:link w:val="9"/>
    <w:qFormat/>
    <w:uiPriority w:val="99"/>
    <w:rPr>
      <w:sz w:val="18"/>
      <w:szCs w:val="18"/>
    </w:rPr>
  </w:style>
  <w:style w:type="character" w:customStyle="1" w:styleId="18">
    <w:name w:val="页脚 Char"/>
    <w:basedOn w:val="12"/>
    <w:link w:val="8"/>
    <w:qFormat/>
    <w:uiPriority w:val="99"/>
    <w:rPr>
      <w:sz w:val="18"/>
      <w:szCs w:val="18"/>
    </w:rPr>
  </w:style>
  <w:style w:type="character" w:customStyle="1" w:styleId="19">
    <w:name w:val="日期 Char"/>
    <w:basedOn w:val="12"/>
    <w:link w:val="5"/>
    <w:semiHidden/>
    <w:qFormat/>
    <w:uiPriority w:val="99"/>
  </w:style>
  <w:style w:type="character" w:customStyle="1" w:styleId="20">
    <w:name w:val="纯文本 Char"/>
    <w:basedOn w:val="12"/>
    <w:qFormat/>
    <w:uiPriority w:val="0"/>
    <w:rPr>
      <w:rFonts w:ascii="宋体" w:hAnsi="Courier New"/>
      <w:sz w:val="24"/>
      <w:szCs w:val="24"/>
    </w:rPr>
  </w:style>
  <w:style w:type="character" w:customStyle="1" w:styleId="21">
    <w:name w:val="纯文本 Char1"/>
    <w:basedOn w:val="12"/>
    <w:link w:val="4"/>
    <w:semiHidden/>
    <w:qFormat/>
    <w:uiPriority w:val="99"/>
    <w:rPr>
      <w:rFonts w:ascii="宋体" w:hAnsi="Courier New" w:eastAsia="宋体" w:cs="Courier New"/>
      <w:szCs w:val="21"/>
    </w:rPr>
  </w:style>
  <w:style w:type="paragraph" w:customStyle="1" w:styleId="22">
    <w:name w:val="标准文本"/>
    <w:basedOn w:val="1"/>
    <w:qFormat/>
    <w:uiPriority w:val="0"/>
    <w:pPr>
      <w:widowControl/>
      <w:spacing w:line="360" w:lineRule="auto"/>
      <w:ind w:firstLine="200" w:firstLineChars="200"/>
      <w:jc w:val="left"/>
    </w:pPr>
    <w:rPr>
      <w:rFonts w:ascii="Times New Roman" w:hAnsi="Times New Roman" w:eastAsia="Times New Roman" w:cs="Times New Roman"/>
      <w:kern w:val="0"/>
      <w:szCs w:val="20"/>
      <w:lang w:val="zh-CN"/>
    </w:rPr>
  </w:style>
  <w:style w:type="character" w:customStyle="1" w:styleId="23">
    <w:name w:val="正文文本 Char"/>
    <w:qFormat/>
    <w:uiPriority w:val="0"/>
    <w:rPr>
      <w:rFonts w:ascii="宋体" w:hAnsi="宋体"/>
      <w:sz w:val="28"/>
      <w:szCs w:val="24"/>
    </w:rPr>
  </w:style>
  <w:style w:type="character" w:customStyle="1" w:styleId="24">
    <w:name w:val="正文文本 Char1"/>
    <w:basedOn w:val="12"/>
    <w:link w:val="3"/>
    <w:semiHidden/>
    <w:qFormat/>
    <w:uiPriority w:val="99"/>
  </w:style>
  <w:style w:type="paragraph" w:customStyle="1" w:styleId="25">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26">
    <w:name w:val="批注框文本 Char"/>
    <w:basedOn w:val="12"/>
    <w:link w:val="7"/>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589</Words>
  <Characters>3363</Characters>
  <Lines>28</Lines>
  <Paragraphs>7</Paragraphs>
  <TotalTime>1</TotalTime>
  <ScaleCrop>false</ScaleCrop>
  <LinksUpToDate>false</LinksUpToDate>
  <CharactersWithSpaces>3945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2019-11-19T02:40:00Z</dcterms:created>
  <dc:creator>微软用户</dc:creator>
  <cp:lastModifiedBy>爱～夏</cp:lastModifiedBy>
  <cp:lastPrinted>2021-05-21T04:27:00Z</cp:lastPrinted>
  <dcterms:modified xsi:type="dcterms:W3CDTF">2021-11-29T03:17:03Z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6D1CAA8AB1744A9AA42208854D329FFB</vt:lpwstr>
  </property>
</Properties>
</file>