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lang w:eastAsia="zh-CN"/>
        </w:rPr>
        <w:t>湖州师范学院危化品中转站通风系统及危化品柜采购项目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lang w:eastAsia="zh-CN"/>
        </w:rPr>
        <w:t>湖州师范学院危化品中转站通风系统及危化品柜采购项目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XZ2020-152</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lang w:eastAsia="zh-CN"/>
        </w:rPr>
      </w:pPr>
      <w:r>
        <w:rPr>
          <w:rFonts w:hint="eastAsia" w:ascii="仿宋" w:hAnsi="仿宋" w:eastAsia="仿宋" w:cs="Times New Roman"/>
          <w:color w:val="000000" w:themeColor="text1"/>
          <w:sz w:val="24"/>
          <w:szCs w:val="24"/>
        </w:rPr>
        <w:t>5.采购预算：</w:t>
      </w:r>
      <w:r>
        <w:rPr>
          <w:rFonts w:hint="eastAsia" w:ascii="仿宋" w:hAnsi="仿宋" w:eastAsia="仿宋"/>
          <w:sz w:val="24"/>
          <w:lang w:eastAsia="zh-CN"/>
        </w:rPr>
        <w:t>人民币壹拾柒万伍仟元整（￥175000.00元）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8"/>
        <w:gridCol w:w="1784"/>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ascii="仿宋" w:hAnsi="仿宋" w:eastAsia="仿宋"/>
                <w:b/>
                <w:sz w:val="24"/>
              </w:rPr>
            </w:pPr>
            <w:r>
              <w:rPr>
                <w:rFonts w:hint="eastAsia" w:ascii="仿宋" w:hAnsi="仿宋" w:eastAsia="仿宋"/>
                <w:b/>
                <w:sz w:val="24"/>
              </w:rPr>
              <w:t>项目名称</w:t>
            </w:r>
          </w:p>
        </w:tc>
        <w:tc>
          <w:tcPr>
            <w:tcW w:w="1784" w:type="dxa"/>
            <w:vAlign w:val="center"/>
          </w:tcPr>
          <w:p>
            <w:pPr>
              <w:jc w:val="center"/>
              <w:rPr>
                <w:rFonts w:ascii="仿宋" w:hAnsi="仿宋" w:eastAsia="仿宋"/>
                <w:b/>
                <w:sz w:val="24"/>
              </w:rPr>
            </w:pPr>
            <w:r>
              <w:rPr>
                <w:rFonts w:hint="eastAsia" w:ascii="仿宋" w:hAnsi="仿宋" w:eastAsia="仿宋"/>
                <w:b/>
                <w:sz w:val="24"/>
              </w:rPr>
              <w:t>采购数量</w:t>
            </w:r>
          </w:p>
        </w:tc>
        <w:tc>
          <w:tcPr>
            <w:tcW w:w="2791"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hint="eastAsia" w:ascii="仿宋" w:hAnsi="仿宋" w:eastAsia="仿宋"/>
                <w:sz w:val="24"/>
                <w:lang w:eastAsia="zh-CN"/>
              </w:rPr>
            </w:pPr>
            <w:r>
              <w:rPr>
                <w:rFonts w:hint="eastAsia" w:ascii="仿宋" w:hAnsi="仿宋" w:eastAsia="仿宋"/>
                <w:sz w:val="24"/>
                <w:szCs w:val="24"/>
                <w:lang w:eastAsia="zh-CN"/>
              </w:rPr>
              <w:t>湖州师范学院危化品中转站通风系统及危化品柜采购项目</w:t>
            </w:r>
          </w:p>
        </w:tc>
        <w:tc>
          <w:tcPr>
            <w:tcW w:w="1784" w:type="dxa"/>
            <w:vAlign w:val="center"/>
          </w:tcPr>
          <w:p>
            <w:pPr>
              <w:jc w:val="center"/>
              <w:rPr>
                <w:rFonts w:hint="eastAsia" w:ascii="仿宋" w:hAnsi="仿宋" w:eastAsia="仿宋"/>
                <w:sz w:val="24"/>
                <w:lang w:val="en-US" w:eastAsia="zh-CN"/>
              </w:rPr>
            </w:pPr>
            <w:r>
              <w:rPr>
                <w:rFonts w:hint="eastAsia" w:ascii="仿宋" w:hAnsi="仿宋" w:eastAsia="仿宋"/>
                <w:b/>
                <w:bCs/>
                <w:sz w:val="24"/>
                <w:szCs w:val="24"/>
                <w:lang w:val="en-US" w:eastAsia="zh-CN"/>
              </w:rPr>
              <w:t>1项</w:t>
            </w:r>
          </w:p>
        </w:tc>
        <w:tc>
          <w:tcPr>
            <w:tcW w:w="2791" w:type="dxa"/>
            <w:vAlign w:val="center"/>
          </w:tcPr>
          <w:p>
            <w:pPr>
              <w:jc w:val="center"/>
              <w:rPr>
                <w:rFonts w:hint="default" w:ascii="仿宋" w:hAnsi="仿宋" w:eastAsia="仿宋"/>
                <w:sz w:val="24"/>
                <w:lang w:val="en-US" w:eastAsia="zh-CN"/>
              </w:rPr>
            </w:pPr>
            <w:r>
              <w:rPr>
                <w:rFonts w:hint="eastAsia" w:ascii="仿宋" w:hAnsi="仿宋" w:eastAsia="仿宋"/>
                <w:b/>
                <w:bCs/>
                <w:sz w:val="24"/>
                <w:lang w:eastAsia="zh-CN"/>
              </w:rPr>
              <w:t>详</w:t>
            </w:r>
            <w:r>
              <w:rPr>
                <w:rFonts w:hint="eastAsia" w:ascii="仿宋" w:hAnsi="仿宋" w:eastAsia="仿宋"/>
                <w:b/>
                <w:bCs/>
                <w:sz w:val="24"/>
                <w:lang w:val="en-US" w:eastAsia="zh-CN"/>
              </w:rPr>
              <w:t>见附件1</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spacing w:line="240" w:lineRule="auto"/>
        <w:ind w:firstLine="482" w:firstLineChars="200"/>
        <w:rPr>
          <w:rFonts w:hint="eastAsia"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w:t>
      </w:r>
      <w:r>
        <w:rPr>
          <w:rFonts w:hint="eastAsia" w:ascii="仿宋" w:hAnsi="仿宋" w:eastAsia="仿宋"/>
          <w:b/>
          <w:color w:val="000000" w:themeColor="text1"/>
          <w:sz w:val="24"/>
          <w:szCs w:val="24"/>
          <w:lang w:eastAsia="zh-CN"/>
        </w:rPr>
        <w:t>包含</w:t>
      </w:r>
      <w:r>
        <w:rPr>
          <w:rFonts w:hint="eastAsia" w:ascii="仿宋" w:hAnsi="仿宋" w:eastAsia="仿宋"/>
          <w:b/>
          <w:color w:val="000000" w:themeColor="text1"/>
          <w:sz w:val="24"/>
          <w:szCs w:val="24"/>
        </w:rPr>
        <w:t>税金、</w:t>
      </w:r>
      <w:r>
        <w:rPr>
          <w:rFonts w:hint="eastAsia" w:ascii="仿宋" w:hAnsi="仿宋" w:eastAsia="仿宋"/>
          <w:b/>
          <w:color w:val="000000" w:themeColor="text1"/>
          <w:sz w:val="24"/>
          <w:szCs w:val="24"/>
          <w:lang w:eastAsia="zh-CN"/>
        </w:rPr>
        <w:t>服务、咨询、配件、</w:t>
      </w:r>
      <w:r>
        <w:rPr>
          <w:rFonts w:hint="eastAsia" w:ascii="仿宋" w:hAnsi="仿宋" w:eastAsia="仿宋"/>
          <w:b/>
          <w:color w:val="000000" w:themeColor="text1"/>
          <w:sz w:val="24"/>
          <w:szCs w:val="24"/>
        </w:rPr>
        <w:t>运输、加工、装卸、</w:t>
      </w:r>
      <w:r>
        <w:rPr>
          <w:rFonts w:hint="eastAsia" w:ascii="仿宋" w:hAnsi="仿宋" w:eastAsia="仿宋"/>
          <w:b/>
          <w:color w:val="000000" w:themeColor="text1"/>
          <w:sz w:val="24"/>
          <w:szCs w:val="24"/>
          <w:lang w:eastAsia="zh-CN"/>
        </w:rPr>
        <w:t>安装、调试</w:t>
      </w:r>
      <w:r>
        <w:rPr>
          <w:rFonts w:hint="eastAsia" w:ascii="仿宋" w:hAnsi="仿宋" w:eastAsia="仿宋"/>
          <w:b/>
          <w:color w:val="000000" w:themeColor="text1"/>
          <w:sz w:val="24"/>
          <w:szCs w:val="24"/>
        </w:rPr>
        <w:t>及售后服务等一切费用。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color w:val="000000" w:themeColor="text1"/>
          <w:sz w:val="24"/>
          <w:szCs w:val="24"/>
          <w:lang w:eastAsia="zh-CN"/>
        </w:rPr>
        <w:t>见附件</w:t>
      </w:r>
      <w:r>
        <w:rPr>
          <w:rFonts w:hint="eastAsia" w:ascii="仿宋" w:hAnsi="仿宋" w:eastAsia="仿宋"/>
          <w:color w:val="000000" w:themeColor="text1"/>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bookmarkStart w:id="0" w:name="_GoBack"/>
      <w:bookmarkEnd w:id="0"/>
      <w:r>
        <w:rPr>
          <w:rFonts w:hint="eastAsia" w:ascii="仿宋" w:hAnsi="仿宋" w:eastAsia="仿宋" w:cs="仿宋_GB2312"/>
          <w:color w:val="FF0000"/>
          <w:sz w:val="24"/>
        </w:rPr>
        <w:t>建筑机电安装工程专业承包资质三级及以上资质；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11</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23</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中标人开具发票，一次性全额支付货款。</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w:t>
      </w:r>
      <w:r>
        <w:rPr>
          <w:rFonts w:hint="eastAsia" w:ascii="仿宋" w:hAnsi="仿宋" w:eastAsia="仿宋"/>
          <w:b/>
          <w:color w:val="000000" w:themeColor="text1"/>
          <w:sz w:val="24"/>
          <w:lang w:val="en-US" w:eastAsia="zh-CN"/>
        </w:rPr>
        <w:t>2020年11月30日前完成，并通过验收</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仿宋" w:hAnsi="仿宋" w:eastAsia="仿宋"/>
          <w:color w:val="000000" w:themeColor="text1"/>
          <w:sz w:val="24"/>
        </w:rPr>
      </w:pPr>
      <w:r>
        <w:rPr>
          <w:rFonts w:hint="eastAsia" w:ascii="仿宋" w:hAnsi="仿宋" w:eastAsia="仿宋"/>
          <w:b/>
          <w:color w:val="FF0000"/>
          <w:sz w:val="24"/>
          <w:szCs w:val="24"/>
        </w:rPr>
        <w:t>质保期：1年，自验收合格之日起计算。</w:t>
      </w:r>
      <w:r>
        <w:rPr>
          <w:rFonts w:hint="eastAsia" w:ascii="仿宋" w:hAnsi="仿宋" w:eastAsia="仿宋"/>
          <w:color w:val="000000" w:themeColor="text1"/>
          <w:sz w:val="24"/>
        </w:rPr>
        <w:t>质保期内出现</w:t>
      </w:r>
      <w:r>
        <w:rPr>
          <w:rFonts w:hint="eastAsia" w:ascii="仿宋" w:hAnsi="仿宋" w:eastAsia="仿宋"/>
          <w:color w:val="000000" w:themeColor="text1"/>
          <w:sz w:val="24"/>
          <w:lang w:eastAsia="zh-CN"/>
        </w:rPr>
        <w:t>质量问题</w:t>
      </w:r>
      <w:r>
        <w:rPr>
          <w:rFonts w:hint="eastAsia" w:ascii="仿宋" w:hAnsi="仿宋" w:eastAsia="仿宋"/>
          <w:color w:val="000000" w:themeColor="text1"/>
          <w:sz w:val="24"/>
        </w:rPr>
        <w:t>，中标人应在48小时内完成免费维修或更换。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lang w:eastAsia="zh-CN"/>
        </w:rPr>
      </w:pPr>
      <w:r>
        <w:rPr>
          <w:rFonts w:hint="eastAsia" w:ascii="仿宋" w:hAnsi="仿宋" w:eastAsia="仿宋"/>
          <w:b/>
          <w:color w:val="000000" w:themeColor="text1"/>
          <w:sz w:val="24"/>
        </w:rPr>
        <w:t>附件一：</w:t>
      </w:r>
      <w:r>
        <w:rPr>
          <w:rFonts w:hint="eastAsia" w:ascii="仿宋" w:hAnsi="仿宋" w:eastAsia="仿宋"/>
          <w:b/>
          <w:color w:val="000000" w:themeColor="text1"/>
          <w:sz w:val="24"/>
          <w:lang w:eastAsia="zh-CN"/>
        </w:rPr>
        <w:t>采购方案。</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olor w:val="000000" w:themeColor="text1"/>
          <w:sz w:val="24"/>
          <w:szCs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11</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16</w:t>
      </w:r>
      <w:r>
        <w:rPr>
          <w:rFonts w:hint="eastAsia" w:ascii="仿宋" w:hAnsi="仿宋" w:eastAsia="仿宋"/>
          <w:b/>
          <w:color w:val="000000" w:themeColor="text1"/>
          <w:sz w:val="24"/>
          <w:szCs w:val="24"/>
        </w:rPr>
        <w:t>日</w:t>
      </w: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pStyle w:val="3"/>
        <w:snapToGrid w:val="0"/>
        <w:spacing w:beforeLines="0" w:afterLines="0" w:line="240" w:lineRule="auto"/>
        <w:jc w:val="left"/>
        <w:rPr>
          <w:rFonts w:hint="eastAsia" w:ascii="黑体" w:hAnsi="黑体" w:eastAsia="黑体"/>
          <w:b/>
          <w:bCs/>
          <w:color w:val="000000" w:themeColor="text1"/>
          <w:lang w:val="en-US" w:eastAsia="zh-CN"/>
        </w:rPr>
      </w:pPr>
      <w:r>
        <w:rPr>
          <w:rFonts w:hint="eastAsia" w:ascii="黑体" w:hAnsi="黑体" w:eastAsia="黑体"/>
          <w:b/>
          <w:bCs/>
          <w:color w:val="000000" w:themeColor="text1"/>
          <w:lang w:eastAsia="zh-CN"/>
        </w:rPr>
        <w:t>附件</w:t>
      </w:r>
      <w:r>
        <w:rPr>
          <w:rFonts w:hint="eastAsia" w:ascii="黑体" w:hAnsi="黑体" w:eastAsia="黑体"/>
          <w:b/>
          <w:bCs/>
          <w:color w:val="000000" w:themeColor="text1"/>
          <w:lang w:val="en-US" w:eastAsia="zh-CN"/>
        </w:rPr>
        <w:t>1：</w:t>
      </w:r>
      <w:r>
        <w:rPr>
          <w:rFonts w:hint="eastAsia" w:ascii="仿宋" w:hAnsi="仿宋" w:eastAsia="仿宋"/>
          <w:b/>
          <w:color w:val="000000" w:themeColor="text1"/>
          <w:sz w:val="24"/>
          <w:lang w:eastAsia="zh-CN"/>
        </w:rPr>
        <w:t>采购方案</w:t>
      </w:r>
    </w:p>
    <w:tbl>
      <w:tblPr>
        <w:tblW w:w="10338" w:type="dxa"/>
        <w:jc w:val="center"/>
        <w:shd w:val="clear"/>
        <w:tblLayout w:type="fixed"/>
        <w:tblCellMar>
          <w:top w:w="0" w:type="dxa"/>
          <w:left w:w="0" w:type="dxa"/>
          <w:bottom w:w="0" w:type="dxa"/>
          <w:right w:w="0" w:type="dxa"/>
        </w:tblCellMar>
      </w:tblPr>
      <w:tblGrid>
        <w:gridCol w:w="377"/>
        <w:gridCol w:w="1085"/>
        <w:gridCol w:w="7688"/>
        <w:gridCol w:w="600"/>
        <w:gridCol w:w="588"/>
      </w:tblGrid>
      <w:tr>
        <w:tblPrEx>
          <w:shd w:val="clear"/>
          <w:tblCellMar>
            <w:top w:w="0" w:type="dxa"/>
            <w:left w:w="0" w:type="dxa"/>
            <w:bottom w:w="0" w:type="dxa"/>
            <w:right w:w="0" w:type="dxa"/>
          </w:tblCellMar>
        </w:tblPrEx>
        <w:trPr>
          <w:trHeight w:val="522"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bdr w:val="none" w:color="auto" w:sz="0" w:space="0"/>
                <w:lang w:val="en-US" w:eastAsia="zh-CN" w:bidi="ar"/>
              </w:rPr>
              <w:t>序号</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bdr w:val="none" w:color="auto" w:sz="0" w:space="0"/>
                <w:lang w:val="en-US" w:eastAsia="zh-CN" w:bidi="ar"/>
              </w:rPr>
              <w:t>名称</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bdr w:val="none" w:color="auto" w:sz="0" w:space="0"/>
                <w:lang w:val="en-US" w:eastAsia="zh-CN" w:bidi="ar"/>
              </w:rPr>
              <w:t>规格型号或技术参数、工程清单、服务要求</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bdr w:val="none" w:color="auto" w:sz="0" w:space="0"/>
                <w:lang w:val="en-US" w:eastAsia="zh-CN" w:bidi="ar"/>
              </w:rPr>
              <w:t>单位</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bdr w:val="none" w:color="auto" w:sz="0" w:space="0"/>
                <w:lang w:val="en-US" w:eastAsia="zh-CN" w:bidi="ar"/>
              </w:rPr>
              <w:t>数量</w:t>
            </w:r>
          </w:p>
        </w:tc>
      </w:tr>
      <w:tr>
        <w:tblPrEx>
          <w:tblCellMar>
            <w:top w:w="0" w:type="dxa"/>
            <w:left w:w="0" w:type="dxa"/>
            <w:bottom w:w="0" w:type="dxa"/>
            <w:right w:w="0" w:type="dxa"/>
          </w:tblCellMar>
        </w:tblPrEx>
        <w:trPr>
          <w:trHeight w:val="3210"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*耐酸碱腐蚀防爆柜</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钢板厚度≥1.0mm优质镀锌钢板或冷轧钢板，双层钢制，表面经环氧树脂粉体喷塑，环氧树脂喷涂厚度≥75um，附着力达到0级标准。成品表面平整光滑，无喷涂层脱落、鼓泡、凹陷、压痕以及表面划伤、麻点、裂痕、崩角和刃口等缺陷，具有良好的耐腐蚀、耐热和耐冲击性；防火，防爆，表面光亮，防尘，防锈和防潮，尺寸1090* 460 *1650；</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(2)实现双人双锁管理，符合中国《危险化学品安全管理条例》的规定；</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(3)有盛漏槽，防止泄漏的液体外溢，符合盛漏规范；</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(4)内部采用PP层板及PP板材，PP板厚度0.8mm，一层整体层厚5cm，有3层，防溢式层板，防止意外泄漏的化学品四溢；中间夹有隔热层，连续式无火花铰链，保证柜门开启闭合平稳安全，全焊接结构，安全性更高。</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(5)设置通风装置有效降低挥发性物质浓度，预防火灾产生；</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(6)设有静电接地传导端口；</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3.0 </w:t>
            </w:r>
          </w:p>
        </w:tc>
      </w:tr>
      <w:tr>
        <w:tblPrEx>
          <w:tblCellMar>
            <w:top w:w="0" w:type="dxa"/>
            <w:left w:w="0" w:type="dxa"/>
            <w:bottom w:w="0" w:type="dxa"/>
            <w:right w:w="0" w:type="dxa"/>
          </w:tblCellMar>
        </w:tblPrEx>
        <w:trPr>
          <w:trHeight w:val="250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*耐酸碱腐蚀易制毒柜</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钢板厚度≥1.0mm优质镀锌钢板或冷轧钢板，双层钢制，表面经环氧树脂粉体喷塑，环氧树脂喷涂厚度≥75um，附着力达到0级标准。成品表面平整光滑，无喷涂层脱落、鼓泡、凹陷、压痕以及表面划伤、麻点、裂痕、崩角和刃口等缺陷，具有良好的耐腐蚀、耐热和耐冲击性；防火，防爆，表面光亮，防尘，防锈和防潮；双锁，尺寸1090* 460 *1650；</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(2)内部采用PP层板及PP板材，</w:t>
            </w:r>
            <w:r>
              <w:rPr>
                <w:rStyle w:val="29"/>
                <w:rFonts w:hint="eastAsia" w:ascii="仿宋" w:hAnsi="仿宋" w:eastAsia="仿宋" w:cs="仿宋"/>
                <w:b w:val="0"/>
                <w:bCs/>
                <w:sz w:val="21"/>
                <w:szCs w:val="21"/>
                <w:bdr w:val="none" w:color="auto" w:sz="0" w:space="0"/>
                <w:lang w:val="en-US" w:eastAsia="zh-CN" w:bidi="ar"/>
              </w:rPr>
              <w:t>PP板厚度0.8mm，一层整体层厚5cm，有3层，防溢式层板，防止意外泄漏的化学品四溢；中间夹有隔热层，连续式无火花铰链，保证柜门开启闭合平稳安全，全焊接结构，安全性更高。</w:t>
            </w:r>
            <w:r>
              <w:rPr>
                <w:rStyle w:val="29"/>
                <w:rFonts w:hint="eastAsia" w:ascii="仿宋" w:hAnsi="仿宋" w:eastAsia="仿宋" w:cs="仿宋"/>
                <w:b w:val="0"/>
                <w:bCs/>
                <w:sz w:val="21"/>
                <w:szCs w:val="21"/>
                <w:bdr w:val="none" w:color="auto" w:sz="0" w:space="0"/>
                <w:lang w:val="en-US" w:eastAsia="zh-CN" w:bidi="ar"/>
              </w:rPr>
              <w:br w:type="textWrapping"/>
            </w:r>
            <w:r>
              <w:rPr>
                <w:rStyle w:val="29"/>
                <w:rFonts w:hint="eastAsia" w:ascii="仿宋" w:hAnsi="仿宋" w:eastAsia="仿宋" w:cs="仿宋"/>
                <w:b w:val="0"/>
                <w:bCs/>
                <w:sz w:val="21"/>
                <w:szCs w:val="21"/>
                <w:bdr w:val="none" w:color="auto" w:sz="0" w:space="0"/>
                <w:lang w:val="en-US" w:eastAsia="zh-CN" w:bidi="ar"/>
              </w:rPr>
              <w:t>(3)设置通风装置有效降低挥发性物质浓度，预防火灾产生；</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6.0 </w:t>
            </w:r>
          </w:p>
        </w:tc>
      </w:tr>
      <w:tr>
        <w:tblPrEx>
          <w:tblCellMar>
            <w:top w:w="0" w:type="dxa"/>
            <w:left w:w="0" w:type="dxa"/>
            <w:bottom w:w="0" w:type="dxa"/>
            <w:right w:w="0" w:type="dxa"/>
          </w:tblCellMar>
        </w:tblPrEx>
        <w:trPr>
          <w:trHeight w:val="226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3</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*易制毒柜</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钢板厚度≥1.0mm优质镀锌钢板或冷轧钢板，双层钢制，表面经环氧树脂粉体喷塑，环氧树脂喷涂厚度≥75um，附着力达到0级标准。成品表面平整光滑，无喷涂层脱落、鼓泡、凹陷、压痕以及表面划伤、麻点、裂痕、崩角和刃口等缺陷，表面光亮，防尘，防锈和防潮；双锁，尺寸1090 * 460 * 1650；</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(2)内部采用钢制层板，钢制板厚度1.2mm，一层整体层厚3cm，有3层，防溢式层板，防止意外泄漏的化学品四溢；中间夹有隔热层，连续式无火花铰链，保证柜门开启闭合平稳安全，全焊接结构，安全性更高。</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(3)设置通风装置有效降低挥发性物质浓度，预防火灾产生；</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7.0 </w:t>
            </w:r>
          </w:p>
        </w:tc>
      </w:tr>
      <w:tr>
        <w:tblPrEx>
          <w:tblCellMar>
            <w:top w:w="0" w:type="dxa"/>
            <w:left w:w="0" w:type="dxa"/>
            <w:bottom w:w="0" w:type="dxa"/>
            <w:right w:w="0" w:type="dxa"/>
          </w:tblCellMar>
        </w:tblPrEx>
        <w:trPr>
          <w:trHeight w:val="220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排风管道</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排风系统风管采用pp材质制作，风管制作、安装均应符合GB50243-2016《通风与空调工程施工质量验收规范》；</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连接安全柜的支管需要采用硬管连接，不得采用软管连接；</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 排风机软连接采用PVC软塑连接，禁止使用纺布连接；</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(4) 风机出风口处需配有防雨帽，防止风机出风口进水，电机需配有防护罩进行保护；</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(5) 风管法兰的垫材应符合系统功能的要求，厚度不应小于3mm，垫材不应凸入管内，亦不宜突出法兰外；</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(6) 风管内不得敷设电线、电缆；</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平方米</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50.0 </w:t>
            </w:r>
          </w:p>
        </w:tc>
      </w:tr>
      <w:tr>
        <w:tblPrEx>
          <w:tblCellMar>
            <w:top w:w="0" w:type="dxa"/>
            <w:left w:w="0" w:type="dxa"/>
            <w:bottom w:w="0" w:type="dxa"/>
            <w:right w:w="0" w:type="dxa"/>
          </w:tblCellMar>
        </w:tblPrEx>
        <w:trPr>
          <w:trHeight w:val="283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5</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*玻璃钢离心排风机</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F-72-7.5KW玻璃钢离心排风风机，选用优质、耐酸碱腐蚀的玻璃钢变频离心风机，风机性能曲线优良，满足排风量：≥8500m3/h，全压：1200PA，转速：1700RPM，380V-3Phs-50HZ-7.5KW要求；</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风机其整体应为玻璃纤维（FRP）耐酸碱树脂制作，其叶轮为翼型离心式，风机效率75%以上；</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 风机结构紧凑、噪声低、耐腐蚀、耐高温、强度高、使用寿命长；</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(4) 运行效率高、性能稳定可靠；</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(5) 风机可独立操作及运行；并能在实验室内或设备旁控制启停；</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(6) 风机出厂时需标配减震性能良好的弹簧减震器；</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(7) 排风机控制需能实现时控模块来进行定时开启和关闭的功能；</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(8) 排风机配合控制系统具有断电保护功能，风机控制的时控模块同样应具有断电保护措施；</w:t>
            </w: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防火调节阀</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当风管穿越防火墙或防火分区时需设置安装70°C熔断防火阀；</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用于排风系统的防火阀需进行防腐处理；</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(3)70度常开防火调节阀，规格：400*320，防腐喷涂，排风系统；</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1080"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7</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*活性炭废气处理器</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活性碳装填量必须保证去除率大于90%，设备风阻不大于500Pa，活性炭装填方式要便于取出更换，箱体材质采用1.5mm厚304#不锈钢材质或PP材质；壁厚≥8 mm</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处理风量：6000m3/h，压力损失：≤500PA；</w:t>
            </w: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61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8</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双层栅格排风口</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双层栅格排风口，规格：400*400；</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9</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风管支架</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就整个管道系统安装而言，投标中标人应对所有支架负责，一方面保证管道承重，另一方面保证建筑结构强度；</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管支架间距不得超过2米。</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手动调节阀</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手动调节阀，规格：φ120，防腐喷涂，排风系统；</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(1) 排风系统手动调节阀采用防腐材料制作而成；</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可以手动调整风量并能定位。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7.0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11</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手动调节阀</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手动调节阀，规格：φ160，防腐喷涂，排风系统；</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(1) 排风系统手动调节阀采用防腐材料制作而成；</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可以手动调整风量并能定位。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4.0 </w:t>
            </w:r>
          </w:p>
        </w:tc>
      </w:tr>
      <w:tr>
        <w:tblPrEx>
          <w:tblCellMar>
            <w:top w:w="0" w:type="dxa"/>
            <w:left w:w="0" w:type="dxa"/>
            <w:bottom w:w="0" w:type="dxa"/>
            <w:right w:w="0" w:type="dxa"/>
          </w:tblCellMar>
        </w:tblPrEx>
        <w:trPr>
          <w:trHeight w:val="90"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12</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风机吸气口软接</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风机吸气口软接，规格：φ500；</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个</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49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13</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伞形风帽</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伞形风帽，规格：φ500，PP材质，含固定；</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330"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14</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*排风机控制柜</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排风设备配置控制柜，变频运行的设备配置变频器，服务于屋顶排风机，含电气元器件及其成套；</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(1) 控制箱箱体要求</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设备外壳箱体用冷轧钢板制作，表面平整度在1平方米面积内凹凸不能超过1mm静电喷涂，门板厚度：2.5mm， 箱体：2.0 mm，安装板2.5mm，箱体底座3.0mm；</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符合电器箱柜有关制造标准；</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设备外壳箱体表面折角处不能有皱纹、裂纹、毛刺、焊接等痕迹。门与门框的缝隙不超过1.5mm，且四周缝隙均匀。门应开启灵活，不能有卡阻现象；</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接线端子箱及模块箱需预留不少于30%的安装空间，便于以后扩展；</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控制箱内各种辅助设备及配件(如仪表，接线端子等)和主要元器件(断路器、接触器、热继、变压器等) 均应采用优质品牌产品。</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404"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15</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变频器</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变频器含面板，380V-3Phs-50HZ-7.5KW；</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台</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1465"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16</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电线电缆</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 动力电缆：10mm2以上采用交联多股铜芯电缆，10mm2及以下采用PVC多股铜芯电缆；</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(2) 控制电缆：采用RVVP多股铜芯控制电缆；</w:t>
            </w:r>
            <w:r>
              <w:rPr>
                <w:rFonts w:hint="eastAsia" w:ascii="仿宋" w:hAnsi="仿宋" w:eastAsia="仿宋" w:cs="仿宋"/>
                <w:b w:val="0"/>
                <w:bCs/>
                <w:i w:val="0"/>
                <w:color w:val="000000"/>
                <w:kern w:val="0"/>
                <w:sz w:val="21"/>
                <w:szCs w:val="21"/>
                <w:u w:val="none"/>
                <w:bdr w:val="none" w:color="auto" w:sz="0" w:space="0"/>
                <w:lang w:val="en-US" w:eastAsia="zh-CN" w:bidi="ar"/>
              </w:rPr>
              <w:br w:type="textWrapping"/>
            </w:r>
            <w:r>
              <w:rPr>
                <w:rFonts w:hint="eastAsia" w:ascii="仿宋" w:hAnsi="仿宋" w:eastAsia="仿宋" w:cs="仿宋"/>
                <w:b w:val="0"/>
                <w:bCs/>
                <w:i w:val="0"/>
                <w:color w:val="000000"/>
                <w:kern w:val="0"/>
                <w:sz w:val="21"/>
                <w:szCs w:val="21"/>
                <w:u w:val="none"/>
                <w:bdr w:val="none" w:color="auto" w:sz="0" w:space="0"/>
                <w:lang w:val="en-US" w:eastAsia="zh-CN" w:bidi="ar"/>
              </w:rPr>
              <w:t>(3) 所有线路经电缆桥架布置至设备，若没有桥架经过则应采用镀锌管穿线管送至相关设备。</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米</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30.0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17</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桥架及镀锌线管</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桥架，镀锌管，含接头，弯头等辅材；</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项</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1.0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18</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防爆温湿度检测报警仪</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内置温湿度传感器，范围-20~60℃，含声光报警器，具有数据远程查看，超限自动报警，断电报警等功能；</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 xml:space="preserve">4.0 </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19</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智能型防爆烟感探头</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防爆烟感探头</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套</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4</w:t>
            </w:r>
          </w:p>
        </w:tc>
      </w:tr>
      <w:tr>
        <w:tblPrEx>
          <w:tblCellMar>
            <w:top w:w="0" w:type="dxa"/>
            <w:left w:w="0" w:type="dxa"/>
            <w:bottom w:w="0" w:type="dxa"/>
            <w:right w:w="0" w:type="dxa"/>
          </w:tblCellMar>
        </w:tblPrEx>
        <w:trPr>
          <w:trHeight w:val="799" w:hRule="atLeast"/>
          <w:jc w:val="center"/>
        </w:trPr>
        <w:tc>
          <w:tcPr>
            <w:tcW w:w="3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运输、安装及调试费</w:t>
            </w:r>
          </w:p>
        </w:tc>
        <w:tc>
          <w:tcPr>
            <w:tcW w:w="76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辅材辅料、运输、安装及调试费</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项</w:t>
            </w:r>
          </w:p>
        </w:tc>
        <w:tc>
          <w:tcPr>
            <w:tcW w:w="58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bdr w:val="none" w:color="auto" w:sz="0" w:space="0"/>
                <w:lang w:val="en-US" w:eastAsia="zh-CN" w:bidi="ar"/>
              </w:rPr>
              <w:t>1</w:t>
            </w:r>
          </w:p>
        </w:tc>
      </w:tr>
    </w:tbl>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ascii="黑体" w:hAnsi="黑体" w:eastAsia="黑体"/>
          <w:b/>
          <w:bCs/>
          <w:color w:val="000000" w:themeColor="text1"/>
        </w:rPr>
      </w:pPr>
      <w:r>
        <w:rPr>
          <w:rFonts w:hint="eastAsia" w:ascii="黑体" w:hAnsi="黑体" w:eastAsia="黑体"/>
          <w:b/>
          <w:bCs/>
          <w:color w:val="000000" w:themeColor="text1"/>
        </w:rPr>
        <w:t>附件</w:t>
      </w:r>
      <w:r>
        <w:rPr>
          <w:rFonts w:hint="eastAsia" w:ascii="黑体" w:hAnsi="黑体" w:eastAsia="黑体"/>
          <w:b/>
          <w:bCs/>
          <w:color w:val="000000" w:themeColor="text1"/>
          <w:lang w:eastAsia="zh-CN"/>
        </w:rPr>
        <w:t>二</w:t>
      </w:r>
      <w:r>
        <w:rPr>
          <w:rFonts w:hint="eastAsia" w:ascii="黑体" w:hAnsi="黑体" w:eastAsia="黑体"/>
          <w:b/>
          <w:bCs/>
          <w:color w:val="000000" w:themeColor="text1"/>
        </w:rPr>
        <w:t>：</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lang w:eastAsia="zh-CN"/>
        </w:rPr>
        <w:t>湖州师范学院危化品中转站通风系统及危化品柜采购项目</w:t>
      </w:r>
    </w:p>
    <w:p>
      <w:pPr>
        <w:jc w:val="left"/>
        <w:rPr>
          <w:rFonts w:hint="eastAsia" w:ascii="仿宋" w:hAnsi="仿宋" w:eastAsia="仿宋"/>
          <w:b/>
          <w:color w:val="000000" w:themeColor="text1"/>
          <w:sz w:val="24"/>
          <w:szCs w:val="24"/>
          <w:lang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lang w:eastAsia="zh-CN"/>
        </w:rPr>
        <w:t>XZ2020-152</w:t>
      </w:r>
    </w:p>
    <w:p>
      <w:pPr>
        <w:jc w:val="left"/>
        <w:rPr>
          <w:rFonts w:hint="eastAsia" w:ascii="仿宋" w:hAnsi="仿宋" w:eastAsia="仿宋"/>
          <w:b/>
          <w:color w:val="000000" w:themeColor="text1"/>
          <w:sz w:val="24"/>
          <w:szCs w:val="24"/>
          <w:lang w:eastAsia="zh-CN"/>
        </w:rPr>
      </w:pPr>
    </w:p>
    <w:tbl>
      <w:tblPr>
        <w:tblStyle w:val="9"/>
        <w:tblW w:w="9110" w:type="dxa"/>
        <w:jc w:val="center"/>
        <w:shd w:val="clear" w:color="auto" w:fill="auto"/>
        <w:tblLayout w:type="fixed"/>
        <w:tblCellMar>
          <w:top w:w="0" w:type="dxa"/>
          <w:left w:w="0" w:type="dxa"/>
          <w:bottom w:w="0" w:type="dxa"/>
          <w:right w:w="0" w:type="dxa"/>
        </w:tblCellMar>
      </w:tblPr>
      <w:tblGrid>
        <w:gridCol w:w="696"/>
        <w:gridCol w:w="2067"/>
        <w:gridCol w:w="1841"/>
        <w:gridCol w:w="959"/>
        <w:gridCol w:w="1041"/>
        <w:gridCol w:w="1309"/>
        <w:gridCol w:w="1197"/>
      </w:tblGrid>
      <w:tr>
        <w:tblPrEx>
          <w:shd w:val="clear" w:color="auto" w:fill="auto"/>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品牌、规格、型号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单位</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数量</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小计</w:t>
            </w: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*耐酸碱腐蚀防爆柜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3.0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*耐酸碱腐蚀易制毒柜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*易制毒柜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7.0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排风管道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平方米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50.0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*玻璃钢离心排风机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防火调节阀</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*活性炭废气处理器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双层栅格排风口</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风管支架</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手动调节阀</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7.0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手动调节阀</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风机吸气口软接</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伞形风帽</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*排风机控制柜</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变频器</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电线电缆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30.0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桥架及镀锌线管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防爆温湿度检测报警仪</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19</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智能型防爆烟感探头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运输、安装及调试费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合计</w:t>
            </w:r>
          </w:p>
        </w:tc>
        <w:tc>
          <w:tcPr>
            <w:tcW w:w="63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jc w:val="left"/>
        <w:rPr>
          <w:rFonts w:hint="eastAsia" w:ascii="仿宋" w:hAnsi="仿宋" w:eastAsia="仿宋"/>
          <w:b/>
          <w:color w:val="000000" w:themeColor="text1"/>
          <w:sz w:val="24"/>
          <w:szCs w:val="24"/>
          <w:lang w:eastAsia="zh-CN"/>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hint="eastAsia"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9F0788"/>
    <w:rsid w:val="0DF12A0C"/>
    <w:rsid w:val="11D75D61"/>
    <w:rsid w:val="18462C05"/>
    <w:rsid w:val="1AA22356"/>
    <w:rsid w:val="1E817C6E"/>
    <w:rsid w:val="261E5BD6"/>
    <w:rsid w:val="26E85221"/>
    <w:rsid w:val="2E350BF7"/>
    <w:rsid w:val="321F73AA"/>
    <w:rsid w:val="32274E71"/>
    <w:rsid w:val="38806F68"/>
    <w:rsid w:val="3B5759CC"/>
    <w:rsid w:val="406F0267"/>
    <w:rsid w:val="41AC0A71"/>
    <w:rsid w:val="45147ED2"/>
    <w:rsid w:val="46FA36AF"/>
    <w:rsid w:val="470D29FD"/>
    <w:rsid w:val="491A430A"/>
    <w:rsid w:val="4CCE6F95"/>
    <w:rsid w:val="573A2C8C"/>
    <w:rsid w:val="5A4D251F"/>
    <w:rsid w:val="5A52694C"/>
    <w:rsid w:val="5C8137F0"/>
    <w:rsid w:val="6628674B"/>
    <w:rsid w:val="6678268C"/>
    <w:rsid w:val="693B0340"/>
    <w:rsid w:val="6A75632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 w:type="character" w:customStyle="1" w:styleId="29">
    <w:name w:val="font71"/>
    <w:basedOn w:val="10"/>
    <w:uiPriority w:val="0"/>
    <w:rPr>
      <w:rFonts w:hint="default" w:ascii="等线" w:hAnsi="等线" w:eastAsia="等线" w:cs="等线"/>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1</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2020-11-12T07:36:01Z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