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湖州师范学院</w:t>
      </w:r>
      <w:bookmarkStart w:id="0" w:name="_Hlk128247081"/>
      <w:r>
        <w:rPr>
          <w:rFonts w:hint="eastAsia" w:ascii="仿宋" w:hAnsi="仿宋" w:eastAsia="仿宋" w:cs="宋体"/>
          <w:b/>
          <w:bCs/>
          <w:color w:val="000000"/>
          <w:kern w:val="0"/>
          <w:sz w:val="32"/>
          <w:szCs w:val="32"/>
        </w:rPr>
        <w:t>202</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年自然保护区地理信息系统建设</w:t>
      </w:r>
      <w:bookmarkEnd w:id="0"/>
    </w:p>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公开招标文件</w:t>
      </w:r>
    </w:p>
    <w:p>
      <w:pPr>
        <w:widowControl/>
        <w:shd w:val="clear" w:color="auto" w:fill="FFFFFF"/>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一、</w:t>
      </w:r>
      <w:r>
        <w:rPr>
          <w:rFonts w:hint="eastAsia" w:ascii="仿宋" w:hAnsi="仿宋" w:eastAsia="仿宋"/>
          <w:b/>
          <w:color w:val="000000"/>
          <w:sz w:val="24"/>
        </w:rPr>
        <w:t>采购项目名称等：</w:t>
      </w:r>
    </w:p>
    <w:p>
      <w:pPr>
        <w:widowControl/>
        <w:shd w:val="clear" w:color="auto" w:fill="FFFFFF"/>
        <w:spacing w:before="204" w:after="204"/>
        <w:ind w:firstLine="480" w:firstLineChars="200"/>
        <w:contextualSpacing/>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1.采购项目名称：</w:t>
      </w:r>
      <w:bookmarkStart w:id="1" w:name="OLE_LINK6"/>
      <w:r>
        <w:rPr>
          <w:rFonts w:hint="eastAsia" w:ascii="仿宋" w:hAnsi="仿宋" w:eastAsia="仿宋" w:cs="仿宋"/>
          <w:color w:val="000000"/>
          <w:kern w:val="21"/>
          <w:sz w:val="24"/>
        </w:rPr>
        <w:t>湖州师范学院2023年自然保护区地理信息系统建设</w:t>
      </w:r>
      <w:r>
        <w:rPr>
          <w:rFonts w:hint="eastAsia" w:ascii="仿宋" w:hAnsi="仿宋" w:eastAsia="仿宋" w:cs="仿宋"/>
          <w:color w:val="000000"/>
          <w:kern w:val="21"/>
          <w:sz w:val="24"/>
          <w:lang w:eastAsia="zh-CN"/>
        </w:rPr>
        <w:t>项目</w:t>
      </w:r>
    </w:p>
    <w:bookmarkEnd w:id="1"/>
    <w:p>
      <w:pPr>
        <w:widowControl/>
        <w:shd w:val="clear" w:color="auto" w:fill="FFFFFF"/>
        <w:ind w:firstLine="480" w:firstLineChars="200"/>
        <w:jc w:val="left"/>
        <w:rPr>
          <w:rFonts w:hint="default" w:ascii="仿宋" w:hAnsi="仿宋" w:eastAsia="仿宋" w:cs="宋体"/>
          <w:color w:val="000000"/>
          <w:kern w:val="0"/>
          <w:sz w:val="24"/>
          <w:highlight w:val="none"/>
          <w:lang w:val="en-US"/>
        </w:rPr>
      </w:pPr>
      <w:r>
        <w:rPr>
          <w:rFonts w:hint="eastAsia" w:ascii="仿宋" w:hAnsi="仿宋" w:eastAsia="仿宋" w:cs="宋体"/>
          <w:color w:val="000000"/>
          <w:kern w:val="0"/>
          <w:sz w:val="24"/>
          <w:highlight w:val="none"/>
        </w:rPr>
        <w:t>2.采购项目编号：XZ202</w:t>
      </w:r>
      <w:r>
        <w:rPr>
          <w:rFonts w:hint="eastAsia" w:ascii="仿宋" w:hAnsi="仿宋" w:eastAsia="仿宋" w:cs="宋体"/>
          <w:color w:val="000000"/>
          <w:kern w:val="0"/>
          <w:sz w:val="24"/>
          <w:highlight w:val="none"/>
          <w:lang w:val="en-US" w:eastAsia="zh-CN"/>
        </w:rPr>
        <w:t>3-009</w:t>
      </w:r>
    </w:p>
    <w:p>
      <w:pPr>
        <w:widowControl/>
        <w:shd w:val="clear" w:color="auto" w:fill="FFFFFF"/>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3.采购组织类型：分散采购自行组织</w:t>
      </w:r>
    </w:p>
    <w:p>
      <w:pPr>
        <w:widowControl/>
        <w:shd w:val="clear" w:color="auto" w:fill="FFFFFF"/>
        <w:spacing w:before="204" w:after="204"/>
        <w:ind w:firstLine="480" w:firstLineChars="200"/>
        <w:contextualSpacing/>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4.采购方式：校内公开招标</w:t>
      </w:r>
    </w:p>
    <w:p>
      <w:pPr>
        <w:widowControl/>
        <w:shd w:val="clear" w:color="auto" w:fill="FFFFFF"/>
        <w:spacing w:before="204" w:after="204"/>
        <w:ind w:firstLine="480" w:firstLineChars="200"/>
        <w:contextualSpacing/>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5.采购预算：人民币</w:t>
      </w:r>
      <w:r>
        <w:rPr>
          <w:rFonts w:hint="eastAsia" w:ascii="仿宋" w:hAnsi="仿宋" w:eastAsia="仿宋" w:cs="宋体"/>
          <w:color w:val="000000"/>
          <w:kern w:val="0"/>
          <w:sz w:val="24"/>
          <w:highlight w:val="none"/>
          <w:lang w:val="en-US" w:eastAsia="zh-CN"/>
        </w:rPr>
        <w:t>叁拾叁万捌仟圆整</w:t>
      </w:r>
      <w:r>
        <w:rPr>
          <w:rFonts w:hint="eastAsia" w:ascii="仿宋" w:hAnsi="仿宋" w:eastAsia="仿宋" w:cs="宋体"/>
          <w:color w:val="000000"/>
          <w:kern w:val="0"/>
          <w:sz w:val="24"/>
          <w:highlight w:val="none"/>
        </w:rPr>
        <w:t>（￥：338000.00）</w:t>
      </w:r>
    </w:p>
    <w:p>
      <w:pPr>
        <w:widowControl/>
        <w:shd w:val="clear" w:color="auto" w:fill="FFFFFF"/>
        <w:spacing w:before="204" w:after="204"/>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6.</w:t>
      </w:r>
      <w:r>
        <w:rPr>
          <w:rFonts w:hint="eastAsia" w:ascii="仿宋" w:hAnsi="仿宋" w:eastAsia="仿宋" w:cs="宋体"/>
          <w:kern w:val="0"/>
          <w:sz w:val="24"/>
        </w:rPr>
        <w:t>采购</w:t>
      </w:r>
      <w:r>
        <w:rPr>
          <w:rFonts w:hint="eastAsia" w:ascii="仿宋" w:hAnsi="仿宋" w:eastAsia="仿宋" w:cs="宋体"/>
          <w:color w:val="000000"/>
          <w:kern w:val="0"/>
          <w:sz w:val="24"/>
        </w:rPr>
        <w:t>项目概况（系统名称、技术参数、数量等）：</w:t>
      </w:r>
    </w:p>
    <w:tbl>
      <w:tblPr>
        <w:tblStyle w:val="15"/>
        <w:tblW w:w="10284" w:type="dxa"/>
        <w:jc w:val="center"/>
        <w:tblLayout w:type="autofit"/>
        <w:tblCellMar>
          <w:top w:w="15" w:type="dxa"/>
          <w:left w:w="15" w:type="dxa"/>
          <w:bottom w:w="15" w:type="dxa"/>
          <w:right w:w="15" w:type="dxa"/>
        </w:tblCellMar>
      </w:tblPr>
      <w:tblGrid>
        <w:gridCol w:w="1261"/>
        <w:gridCol w:w="2270"/>
        <w:gridCol w:w="4929"/>
        <w:gridCol w:w="1824"/>
      </w:tblGrid>
      <w:tr>
        <w:tblPrEx>
          <w:tblCellMar>
            <w:top w:w="15" w:type="dxa"/>
            <w:left w:w="15" w:type="dxa"/>
            <w:bottom w:w="15" w:type="dxa"/>
            <w:right w:w="15" w:type="dxa"/>
          </w:tblCellMar>
        </w:tblPrEx>
        <w:trPr>
          <w:jc w:val="center"/>
        </w:trPr>
        <w:tc>
          <w:tcPr>
            <w:tcW w:w="975" w:type="dxa"/>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pPr>
              <w:widowControl/>
              <w:spacing w:before="210" w:after="210"/>
              <w:jc w:val="center"/>
              <w:rPr>
                <w:rFonts w:ascii="仿宋" w:hAnsi="仿宋" w:eastAsia="仿宋" w:cs="仿宋"/>
                <w:kern w:val="21"/>
                <w:sz w:val="24"/>
              </w:rPr>
            </w:pPr>
            <w:r>
              <w:rPr>
                <w:rFonts w:hint="eastAsia" w:ascii="仿宋" w:hAnsi="仿宋" w:eastAsia="仿宋" w:cs="仿宋"/>
                <w:b/>
                <w:bCs/>
                <w:kern w:val="21"/>
                <w:sz w:val="24"/>
              </w:rPr>
              <w:t>序号</w:t>
            </w:r>
          </w:p>
        </w:tc>
        <w:tc>
          <w:tcPr>
            <w:tcW w:w="1755" w:type="dxa"/>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spacing w:before="210" w:after="210"/>
              <w:jc w:val="center"/>
              <w:rPr>
                <w:rFonts w:ascii="仿宋" w:hAnsi="仿宋" w:eastAsia="仿宋" w:cs="仿宋"/>
                <w:kern w:val="21"/>
                <w:sz w:val="24"/>
              </w:rPr>
            </w:pPr>
            <w:r>
              <w:rPr>
                <w:rFonts w:hint="eastAsia" w:ascii="仿宋" w:hAnsi="仿宋" w:eastAsia="仿宋" w:cs="仿宋"/>
                <w:b/>
                <w:bCs/>
                <w:kern w:val="21"/>
                <w:sz w:val="24"/>
              </w:rPr>
              <w:t>名称</w:t>
            </w:r>
          </w:p>
        </w:tc>
        <w:tc>
          <w:tcPr>
            <w:tcW w:w="3810" w:type="dxa"/>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spacing w:before="210" w:after="210"/>
              <w:jc w:val="center"/>
              <w:rPr>
                <w:rFonts w:ascii="仿宋" w:hAnsi="仿宋" w:eastAsia="仿宋" w:cs="仿宋"/>
                <w:kern w:val="21"/>
                <w:sz w:val="24"/>
              </w:rPr>
            </w:pPr>
            <w:r>
              <w:rPr>
                <w:rFonts w:hint="eastAsia" w:ascii="仿宋" w:hAnsi="仿宋" w:eastAsia="仿宋" w:cs="仿宋"/>
                <w:b/>
                <w:bCs/>
                <w:kern w:val="21"/>
                <w:sz w:val="24"/>
              </w:rPr>
              <w:t>技术参数</w:t>
            </w:r>
          </w:p>
        </w:tc>
        <w:tc>
          <w:tcPr>
            <w:tcW w:w="1410" w:type="dxa"/>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spacing w:before="210" w:after="210"/>
              <w:jc w:val="center"/>
              <w:rPr>
                <w:rFonts w:ascii="仿宋" w:hAnsi="仿宋" w:eastAsia="仿宋" w:cs="仿宋"/>
                <w:kern w:val="21"/>
                <w:sz w:val="24"/>
              </w:rPr>
            </w:pPr>
            <w:r>
              <w:rPr>
                <w:rFonts w:hint="eastAsia" w:ascii="仿宋" w:hAnsi="仿宋" w:eastAsia="仿宋" w:cs="仿宋"/>
                <w:b/>
                <w:bCs/>
                <w:kern w:val="21"/>
                <w:sz w:val="24"/>
              </w:rPr>
              <w:t>数量</w:t>
            </w:r>
          </w:p>
        </w:tc>
      </w:tr>
      <w:tr>
        <w:tblPrEx>
          <w:tblCellMar>
            <w:top w:w="15" w:type="dxa"/>
            <w:left w:w="15" w:type="dxa"/>
            <w:bottom w:w="15" w:type="dxa"/>
            <w:right w:w="15" w:type="dxa"/>
          </w:tblCellMar>
        </w:tblPrEx>
        <w:trPr>
          <w:trHeight w:val="1293" w:hRule="atLeast"/>
          <w:jc w:val="center"/>
        </w:trPr>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210" w:after="210"/>
              <w:jc w:val="center"/>
              <w:rPr>
                <w:rFonts w:ascii="仿宋" w:hAnsi="仿宋" w:eastAsia="仿宋" w:cs="仿宋"/>
                <w:kern w:val="21"/>
                <w:sz w:val="24"/>
              </w:rPr>
            </w:pPr>
            <w:r>
              <w:rPr>
                <w:rFonts w:hint="eastAsia" w:ascii="仿宋" w:hAnsi="仿宋" w:eastAsia="仿宋" w:cs="仿宋"/>
                <w:b/>
                <w:bCs/>
                <w:kern w:val="21"/>
                <w:sz w:val="24"/>
              </w:rPr>
              <w:t>1</w:t>
            </w:r>
          </w:p>
        </w:tc>
        <w:tc>
          <w:tcPr>
            <w:tcW w:w="17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210" w:after="210"/>
              <w:jc w:val="left"/>
              <w:rPr>
                <w:rFonts w:ascii="仿宋" w:hAnsi="仿宋" w:eastAsia="仿宋" w:cs="仿宋"/>
                <w:kern w:val="21"/>
                <w:sz w:val="24"/>
              </w:rPr>
            </w:pPr>
            <w:r>
              <w:rPr>
                <w:rFonts w:hint="eastAsia" w:ascii="仿宋" w:hAnsi="仿宋" w:eastAsia="仿宋" w:cs="仿宋"/>
                <w:color w:val="000000"/>
                <w:kern w:val="21"/>
                <w:sz w:val="24"/>
              </w:rPr>
              <w:t>湖州师范学院2023年自然保护区地理信息系统建设</w:t>
            </w:r>
          </w:p>
        </w:tc>
        <w:tc>
          <w:tcPr>
            <w:tcW w:w="3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210" w:after="210"/>
              <w:jc w:val="center"/>
              <w:rPr>
                <w:rFonts w:ascii="仿宋" w:hAnsi="仿宋" w:eastAsia="仿宋" w:cs="仿宋"/>
                <w:b/>
                <w:bCs/>
                <w:kern w:val="21"/>
                <w:sz w:val="24"/>
              </w:rPr>
            </w:pPr>
            <w:r>
              <w:rPr>
                <w:rFonts w:hint="eastAsia" w:ascii="仿宋" w:hAnsi="仿宋" w:eastAsia="仿宋" w:cs="仿宋"/>
                <w:b/>
                <w:bCs/>
                <w:kern w:val="21"/>
                <w:sz w:val="24"/>
              </w:rPr>
              <w:t>见附件</w:t>
            </w:r>
          </w:p>
        </w:tc>
        <w:tc>
          <w:tcPr>
            <w:tcW w:w="14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210" w:after="210"/>
              <w:jc w:val="center"/>
              <w:rPr>
                <w:rFonts w:ascii="仿宋" w:hAnsi="仿宋" w:eastAsia="仿宋" w:cs="仿宋"/>
                <w:kern w:val="21"/>
                <w:sz w:val="24"/>
              </w:rPr>
            </w:pPr>
            <w:r>
              <w:rPr>
                <w:rFonts w:hint="eastAsia" w:ascii="仿宋" w:hAnsi="仿宋" w:eastAsia="仿宋" w:cs="仿宋"/>
                <w:b/>
                <w:bCs/>
                <w:kern w:val="21"/>
                <w:sz w:val="24"/>
              </w:rPr>
              <w:t>1套</w:t>
            </w:r>
          </w:p>
        </w:tc>
      </w:tr>
    </w:tbl>
    <w:p>
      <w:pPr>
        <w:ind w:firstLine="472" w:firstLineChars="196"/>
        <w:jc w:val="left"/>
        <w:rPr>
          <w:rFonts w:ascii="仿宋" w:hAnsi="仿宋" w:eastAsia="仿宋"/>
          <w:b/>
          <w:color w:val="000000"/>
          <w:sz w:val="24"/>
        </w:rPr>
      </w:pPr>
      <w:r>
        <w:rPr>
          <w:rFonts w:hint="eastAsia" w:ascii="仿宋" w:hAnsi="仿宋" w:eastAsia="仿宋"/>
          <w:b/>
          <w:color w:val="000000"/>
          <w:sz w:val="24"/>
        </w:rPr>
        <w:t>二、投标文件要求</w:t>
      </w:r>
    </w:p>
    <w:p>
      <w:pPr>
        <w:ind w:firstLine="480" w:firstLineChars="200"/>
        <w:rPr>
          <w:rFonts w:ascii="仿宋" w:hAnsi="仿宋" w:eastAsia="仿宋"/>
          <w:color w:val="000000"/>
          <w:sz w:val="24"/>
        </w:rPr>
      </w:pPr>
      <w:r>
        <w:rPr>
          <w:rFonts w:hint="eastAsia" w:ascii="仿宋" w:hAnsi="仿宋" w:eastAsia="仿宋"/>
          <w:color w:val="000000"/>
          <w:sz w:val="24"/>
        </w:rPr>
        <w:t>投标人的投标文件中应包含以下内容（投标文件密封，胶装成册，一式二份，一正一副，</w:t>
      </w:r>
      <w:r>
        <w:rPr>
          <w:rFonts w:hint="eastAsia" w:ascii="仿宋" w:hAnsi="仿宋" w:eastAsia="仿宋" w:cs="仿宋_GB2312"/>
          <w:color w:val="000000"/>
          <w:sz w:val="24"/>
        </w:rPr>
        <w:t>投标人的投标文件所有资料</w:t>
      </w:r>
      <w:r>
        <w:rPr>
          <w:rFonts w:hint="eastAsia" w:ascii="仿宋" w:hAnsi="仿宋" w:eastAsia="仿宋"/>
          <w:color w:val="000000"/>
          <w:sz w:val="24"/>
        </w:rPr>
        <w:t>均须真实、有效，原件、复印件均须加盖公章，缺少采购文件要求的任何一项内容即作无效标处理）：</w:t>
      </w:r>
    </w:p>
    <w:p>
      <w:pPr>
        <w:ind w:firstLine="480" w:firstLineChars="200"/>
        <w:jc w:val="left"/>
        <w:rPr>
          <w:rFonts w:ascii="仿宋" w:hAnsi="仿宋" w:eastAsia="仿宋"/>
          <w:sz w:val="24"/>
        </w:rPr>
      </w:pPr>
      <w:r>
        <w:rPr>
          <w:rFonts w:ascii="仿宋" w:hAnsi="仿宋" w:eastAsia="仿宋"/>
          <w:sz w:val="24"/>
        </w:rPr>
        <w:t>投标人的投标文件中应包含以下内容（投标文件密封，所有证件均须真实、有效，复印件均须加盖公章，缺少以下任意一项内容即作无效标处理）</w:t>
      </w:r>
    </w:p>
    <w:p>
      <w:pPr>
        <w:ind w:firstLine="480" w:firstLineChars="200"/>
        <w:jc w:val="left"/>
        <w:rPr>
          <w:rFonts w:ascii="仿宋" w:hAnsi="仿宋" w:eastAsia="仿宋"/>
          <w:sz w:val="24"/>
        </w:rPr>
      </w:pPr>
      <w:r>
        <w:rPr>
          <w:rFonts w:ascii="仿宋" w:hAnsi="仿宋" w:eastAsia="仿宋"/>
          <w:sz w:val="24"/>
        </w:rPr>
        <w:t>1、投标报价清单(含税金、</w:t>
      </w:r>
      <w:r>
        <w:rPr>
          <w:rFonts w:hint="eastAsia" w:ascii="仿宋" w:hAnsi="仿宋" w:eastAsia="仿宋"/>
          <w:sz w:val="24"/>
        </w:rPr>
        <w:t>技术开发服务</w:t>
      </w:r>
      <w:r>
        <w:rPr>
          <w:rFonts w:ascii="仿宋" w:hAnsi="仿宋" w:eastAsia="仿宋"/>
          <w:sz w:val="24"/>
        </w:rPr>
        <w:t>及</w:t>
      </w:r>
      <w:r>
        <w:rPr>
          <w:rFonts w:hint="eastAsia" w:ascii="仿宋" w:hAnsi="仿宋" w:eastAsia="仿宋"/>
          <w:sz w:val="24"/>
        </w:rPr>
        <w:t>调试</w:t>
      </w:r>
      <w:r>
        <w:rPr>
          <w:rFonts w:ascii="仿宋" w:hAnsi="仿宋" w:eastAsia="仿宋"/>
          <w:sz w:val="24"/>
        </w:rPr>
        <w:t>费等全部费用。投标报价高于采购预算者视为无效报价。报价以人民币计，并以大写为准),</w:t>
      </w:r>
      <w:r>
        <w:rPr>
          <w:rFonts w:ascii="仿宋" w:hAnsi="仿宋" w:eastAsia="仿宋"/>
          <w:b/>
          <w:sz w:val="24"/>
        </w:rPr>
        <w:t>必须单独密封</w:t>
      </w:r>
      <w:r>
        <w:rPr>
          <w:rFonts w:ascii="仿宋" w:hAnsi="仿宋" w:eastAsia="仿宋"/>
          <w:sz w:val="24"/>
        </w:rPr>
        <w:t>。</w:t>
      </w:r>
    </w:p>
    <w:p>
      <w:pPr>
        <w:ind w:firstLine="480" w:firstLineChars="200"/>
        <w:jc w:val="left"/>
        <w:rPr>
          <w:rFonts w:ascii="仿宋" w:hAnsi="仿宋" w:eastAsia="仿宋"/>
          <w:sz w:val="24"/>
        </w:rPr>
      </w:pPr>
      <w:r>
        <w:rPr>
          <w:rFonts w:ascii="仿宋" w:hAnsi="仿宋" w:eastAsia="仿宋"/>
          <w:sz w:val="24"/>
        </w:rPr>
        <w:t>2、营业执照副本复印件。</w:t>
      </w:r>
    </w:p>
    <w:p>
      <w:pPr>
        <w:ind w:firstLine="480" w:firstLineChars="200"/>
        <w:jc w:val="left"/>
        <w:rPr>
          <w:rFonts w:ascii="仿宋" w:hAnsi="仿宋" w:eastAsia="仿宋"/>
          <w:sz w:val="24"/>
        </w:rPr>
      </w:pPr>
      <w:r>
        <w:rPr>
          <w:rFonts w:ascii="仿宋" w:hAnsi="仿宋" w:eastAsia="仿宋"/>
          <w:sz w:val="24"/>
        </w:rPr>
        <w:t>3、税务登记证复印件。</w:t>
      </w:r>
    </w:p>
    <w:p>
      <w:pPr>
        <w:ind w:firstLine="480" w:firstLineChars="200"/>
        <w:jc w:val="left"/>
        <w:rPr>
          <w:rFonts w:ascii="仿宋" w:hAnsi="仿宋" w:eastAsia="仿宋"/>
          <w:sz w:val="24"/>
        </w:rPr>
      </w:pPr>
      <w:r>
        <w:rPr>
          <w:rFonts w:ascii="仿宋" w:hAnsi="仿宋" w:eastAsia="仿宋"/>
          <w:sz w:val="24"/>
        </w:rPr>
        <w:t>4、提供投标代表身份证复印件；如非法人投标，另提供法人委托书、法人身份证复印件及投标代表社保证明材料。</w:t>
      </w:r>
    </w:p>
    <w:p>
      <w:pPr>
        <w:ind w:firstLine="480" w:firstLineChars="200"/>
        <w:jc w:val="left"/>
        <w:rPr>
          <w:rFonts w:hint="eastAsia" w:ascii="仿宋" w:hAnsi="仿宋" w:eastAsia="仿宋" w:cs="Times New Roman"/>
          <w:sz w:val="24"/>
          <w:lang w:eastAsia="zh-CN"/>
        </w:rPr>
      </w:pPr>
      <w:r>
        <w:rPr>
          <w:rFonts w:ascii="仿宋" w:hAnsi="仿宋" w:eastAsia="仿宋" w:cs="Times New Roman"/>
          <w:sz w:val="24"/>
        </w:rPr>
        <w:t>5、售后服务承诺书</w:t>
      </w:r>
      <w:r>
        <w:rPr>
          <w:rFonts w:hint="eastAsia" w:ascii="仿宋" w:hAnsi="仿宋" w:eastAsia="仿宋" w:cs="Times New Roman"/>
          <w:sz w:val="24"/>
          <w:lang w:eastAsia="zh-CN"/>
        </w:rPr>
        <w:t>。</w:t>
      </w:r>
    </w:p>
    <w:p>
      <w:pPr>
        <w:ind w:firstLine="480" w:firstLineChars="200"/>
        <w:jc w:val="left"/>
        <w:rPr>
          <w:rFonts w:ascii="仿宋" w:hAnsi="仿宋" w:eastAsia="仿宋" w:cs="Times New Roman"/>
          <w:sz w:val="24"/>
        </w:rPr>
      </w:pPr>
      <w:r>
        <w:rPr>
          <w:rFonts w:hint="eastAsia" w:ascii="仿宋" w:hAnsi="仿宋" w:eastAsia="仿宋" w:cs="Times New Roman"/>
          <w:sz w:val="24"/>
          <w:lang w:val="en-US" w:eastAsia="zh-CN"/>
        </w:rPr>
        <w:t>6、技术服务方案</w:t>
      </w:r>
      <w:r>
        <w:rPr>
          <w:rFonts w:ascii="仿宋" w:hAnsi="仿宋" w:eastAsia="仿宋" w:cs="Times New Roman"/>
          <w:sz w:val="24"/>
        </w:rPr>
        <w:t>。</w:t>
      </w:r>
    </w:p>
    <w:p>
      <w:pPr>
        <w:ind w:firstLine="480" w:firstLineChars="200"/>
        <w:jc w:val="left"/>
        <w:rPr>
          <w:rFonts w:ascii="仿宋" w:hAnsi="仿宋" w:eastAsia="仿宋"/>
          <w:color w:val="000000"/>
          <w:sz w:val="24"/>
        </w:rPr>
      </w:pPr>
      <w:r>
        <w:rPr>
          <w:rFonts w:hint="eastAsia" w:ascii="仿宋" w:hAnsi="仿宋" w:eastAsia="仿宋"/>
          <w:color w:val="000000"/>
          <w:sz w:val="24"/>
          <w:lang w:val="en-US" w:eastAsia="zh-CN"/>
        </w:rPr>
        <w:t>7</w:t>
      </w:r>
      <w:r>
        <w:rPr>
          <w:rFonts w:hint="eastAsia" w:ascii="仿宋" w:hAnsi="仿宋" w:eastAsia="仿宋"/>
          <w:color w:val="000000"/>
          <w:sz w:val="24"/>
        </w:rPr>
        <w:t>、提供自采购公告发布之日起至开标截止时间止的“信用中国”网站（</w:t>
      </w:r>
      <w:r>
        <w:rPr>
          <w:rFonts w:ascii="仿宋" w:hAnsi="仿宋" w:eastAsia="仿宋"/>
          <w:color w:val="000000"/>
          <w:sz w:val="24"/>
        </w:rPr>
        <w:t>www.creditchina.gov.cn</w:t>
      </w:r>
      <w:r>
        <w:rPr>
          <w:rFonts w:hint="eastAsia" w:ascii="仿宋" w:hAnsi="仿宋" w:eastAsia="仿宋"/>
          <w:color w:val="000000"/>
          <w:sz w:val="24"/>
        </w:rPr>
        <w:t>）、中国政府采购网（</w:t>
      </w:r>
      <w:r>
        <w:rPr>
          <w:rFonts w:ascii="仿宋" w:hAnsi="仿宋" w:eastAsia="仿宋"/>
          <w:color w:val="000000"/>
          <w:sz w:val="24"/>
        </w:rPr>
        <w:t>www.ccgp.gov.cn</w:t>
      </w:r>
      <w:r>
        <w:rPr>
          <w:rFonts w:hint="eastAsia" w:ascii="仿宋" w:hAnsi="仿宋" w:eastAsia="仿宋"/>
          <w:color w:val="000000"/>
          <w:sz w:val="24"/>
        </w:rPr>
        <w:t>）、</w:t>
      </w:r>
      <w:r>
        <w:rPr>
          <w:rFonts w:hint="eastAsia" w:ascii="仿宋" w:hAnsi="仿宋" w:eastAsia="仿宋" w:cs="仿宋_GB2312"/>
          <w:color w:val="000000"/>
          <w:sz w:val="24"/>
        </w:rPr>
        <w:t>“浙江政府采购网”（</w:t>
      </w:r>
      <w:r>
        <w:rPr>
          <w:rFonts w:ascii="仿宋" w:hAnsi="仿宋" w:eastAsia="仿宋" w:cs="仿宋_GB2312"/>
          <w:color w:val="000000"/>
          <w:sz w:val="24"/>
        </w:rPr>
        <w:t>www.zjzfcg.gov.cn</w:t>
      </w:r>
      <w:r>
        <w:rPr>
          <w:rFonts w:hint="eastAsia" w:ascii="仿宋" w:hAnsi="仿宋" w:eastAsia="仿宋" w:cs="仿宋_GB2312"/>
          <w:color w:val="000000"/>
          <w:sz w:val="24"/>
        </w:rPr>
        <w:t>）</w:t>
      </w:r>
      <w:r>
        <w:rPr>
          <w:rFonts w:hint="eastAsia" w:ascii="仿宋" w:hAnsi="仿宋" w:eastAsia="仿宋"/>
          <w:color w:val="000000"/>
          <w:sz w:val="24"/>
        </w:rPr>
        <w:t>投标人信用查询网页截图（至少提供2个）（以开标当日采购人核实的查询结果为准）；</w:t>
      </w:r>
    </w:p>
    <w:p>
      <w:pPr>
        <w:ind w:firstLine="480" w:firstLineChars="200"/>
        <w:jc w:val="left"/>
        <w:rPr>
          <w:rFonts w:ascii="仿宋" w:hAnsi="仿宋" w:eastAsia="仿宋"/>
          <w:color w:val="000000"/>
          <w:sz w:val="24"/>
        </w:rPr>
      </w:pPr>
      <w:r>
        <w:rPr>
          <w:rFonts w:hint="eastAsia" w:ascii="仿宋" w:hAnsi="仿宋" w:eastAsia="仿宋"/>
          <w:color w:val="000000"/>
          <w:sz w:val="24"/>
          <w:lang w:val="en-US" w:eastAsia="zh-CN"/>
        </w:rPr>
        <w:t>8</w:t>
      </w:r>
      <w:r>
        <w:rPr>
          <w:rFonts w:hint="eastAsia" w:ascii="仿宋" w:hAnsi="仿宋" w:eastAsia="仿宋"/>
          <w:color w:val="000000"/>
          <w:sz w:val="24"/>
        </w:rPr>
        <w:t>、提供自采购公告发布之日起至开标截止时间止的“国家企业信用信息公示系统”（</w:t>
      </w:r>
      <w:r>
        <w:rPr>
          <w:rFonts w:hint="eastAsia" w:ascii="仿宋" w:hAnsi="仿宋" w:eastAsia="仿宋" w:cs="仿宋_GB2312"/>
          <w:color w:val="000000"/>
          <w:sz w:val="24"/>
        </w:rPr>
        <w:t xml:space="preserve"> www.gsxt.gov.cn</w:t>
      </w:r>
      <w:r>
        <w:rPr>
          <w:rFonts w:hint="eastAsia" w:ascii="仿宋" w:hAnsi="仿宋" w:eastAsia="仿宋"/>
          <w:color w:val="000000"/>
          <w:sz w:val="24"/>
        </w:rPr>
        <w:t>）投标人未在行政处罚期内和未被列入经营异常名录查询网页截图（以开标当日采购人核实的查询结果为准）；</w:t>
      </w:r>
    </w:p>
    <w:p>
      <w:pPr>
        <w:ind w:firstLine="470" w:firstLineChars="196"/>
        <w:jc w:val="left"/>
        <w:rPr>
          <w:rFonts w:ascii="仿宋" w:hAnsi="仿宋" w:eastAsia="仿宋" w:cs="仿宋_GB2312"/>
          <w:color w:val="000000"/>
          <w:sz w:val="24"/>
        </w:rPr>
      </w:pPr>
      <w:r>
        <w:rPr>
          <w:rFonts w:hint="eastAsia" w:ascii="仿宋" w:hAnsi="仿宋" w:eastAsia="仿宋"/>
          <w:color w:val="000000"/>
          <w:sz w:val="24"/>
          <w:lang w:val="en-US" w:eastAsia="zh-CN"/>
        </w:rPr>
        <w:t>9</w:t>
      </w:r>
      <w:r>
        <w:rPr>
          <w:rFonts w:hint="eastAsia" w:ascii="仿宋" w:hAnsi="仿宋" w:eastAsia="仿宋"/>
          <w:color w:val="000000"/>
          <w:sz w:val="24"/>
        </w:rPr>
        <w:t>、</w:t>
      </w:r>
      <w:r>
        <w:rPr>
          <w:rFonts w:hint="eastAsia" w:ascii="仿宋" w:hAnsi="仿宋" w:eastAsia="仿宋" w:cs="仿宋_GB2312"/>
          <w:color w:val="000000"/>
          <w:sz w:val="24"/>
        </w:rPr>
        <w:t>其他</w:t>
      </w:r>
      <w:r>
        <w:rPr>
          <w:rFonts w:hint="eastAsia" w:ascii="仿宋" w:hAnsi="仿宋" w:eastAsia="仿宋" w:cs="仿宋_GB2312"/>
          <w:color w:val="000000"/>
          <w:sz w:val="24"/>
          <w:lang w:eastAsia="zh-CN"/>
        </w:rPr>
        <w:t>评分</w:t>
      </w:r>
      <w:r>
        <w:rPr>
          <w:rFonts w:hint="eastAsia" w:ascii="仿宋" w:hAnsi="仿宋" w:eastAsia="仿宋" w:cs="仿宋_GB2312"/>
          <w:color w:val="000000"/>
          <w:sz w:val="24"/>
        </w:rPr>
        <w:t>相关材料。</w:t>
      </w:r>
    </w:p>
    <w:p>
      <w:pPr>
        <w:ind w:firstLine="472" w:firstLineChars="196"/>
        <w:jc w:val="left"/>
        <w:rPr>
          <w:rFonts w:ascii="仿宋" w:hAnsi="仿宋" w:eastAsia="仿宋"/>
          <w:b/>
          <w:color w:val="000000"/>
          <w:sz w:val="24"/>
        </w:rPr>
      </w:pPr>
      <w:r>
        <w:rPr>
          <w:rFonts w:hint="eastAsia" w:ascii="仿宋" w:hAnsi="仿宋" w:eastAsia="仿宋"/>
          <w:b/>
          <w:color w:val="000000"/>
          <w:sz w:val="24"/>
        </w:rPr>
        <w:t>三、投标文件递交及开标时间、地点</w:t>
      </w:r>
    </w:p>
    <w:p>
      <w:pPr>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1.开标时间：202</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年</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月2</w:t>
      </w:r>
      <w:r>
        <w:rPr>
          <w:rFonts w:hint="eastAsia" w:ascii="仿宋" w:hAnsi="仿宋" w:eastAsia="仿宋"/>
          <w:color w:val="000000"/>
          <w:sz w:val="24"/>
          <w:highlight w:val="none"/>
          <w:lang w:val="en-US" w:eastAsia="zh-CN"/>
        </w:rPr>
        <w:t>0</w:t>
      </w:r>
      <w:r>
        <w:rPr>
          <w:rFonts w:hint="eastAsia" w:ascii="仿宋" w:hAnsi="仿宋" w:eastAsia="仿宋"/>
          <w:color w:val="000000"/>
          <w:sz w:val="24"/>
          <w:highlight w:val="none"/>
        </w:rPr>
        <w:t xml:space="preserve">日 </w:t>
      </w:r>
      <w:r>
        <w:rPr>
          <w:rFonts w:hint="eastAsia" w:ascii="仿宋" w:hAnsi="仿宋" w:eastAsia="仿宋"/>
          <w:color w:val="000000"/>
          <w:sz w:val="24"/>
          <w:highlight w:val="none"/>
          <w:lang w:val="en-US" w:eastAsia="zh-CN"/>
        </w:rPr>
        <w:t>9</w:t>
      </w: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0；</w:t>
      </w:r>
    </w:p>
    <w:p>
      <w:pPr>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2.开标地点：湖州市二环东路759号湖州师范学院东校区明达楼202室；</w:t>
      </w:r>
    </w:p>
    <w:p>
      <w:pPr>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3.联系人：徐老师；</w:t>
      </w:r>
    </w:p>
    <w:p>
      <w:pPr>
        <w:ind w:firstLine="470" w:firstLineChars="196"/>
        <w:jc w:val="left"/>
        <w:rPr>
          <w:rFonts w:ascii="仿宋" w:hAnsi="仿宋" w:eastAsia="仿宋" w:cs="仿宋_GB2312"/>
          <w:color w:val="000000"/>
          <w:sz w:val="24"/>
          <w:highlight w:val="none"/>
        </w:rPr>
      </w:pPr>
      <w:r>
        <w:rPr>
          <w:rFonts w:hint="eastAsia" w:ascii="仿宋" w:hAnsi="仿宋" w:eastAsia="仿宋" w:cs="仿宋_GB2312"/>
          <w:color w:val="000000"/>
          <w:sz w:val="24"/>
          <w:highlight w:val="none"/>
        </w:rPr>
        <w:t>4.电话：</w:t>
      </w:r>
      <w:r>
        <w:rPr>
          <w:rFonts w:hint="eastAsia" w:ascii="仿宋" w:hAnsi="仿宋" w:eastAsia="仿宋"/>
          <w:color w:val="000000"/>
          <w:sz w:val="24"/>
          <w:highlight w:val="none"/>
        </w:rPr>
        <w:t>0572-2322188。</w:t>
      </w:r>
    </w:p>
    <w:p>
      <w:pPr>
        <w:ind w:firstLine="472" w:firstLineChars="196"/>
        <w:jc w:val="left"/>
        <w:rPr>
          <w:rFonts w:ascii="仿宋" w:hAnsi="仿宋" w:eastAsia="仿宋"/>
          <w:b/>
          <w:color w:val="000000"/>
          <w:sz w:val="24"/>
          <w:highlight w:val="none"/>
        </w:rPr>
      </w:pPr>
      <w:r>
        <w:rPr>
          <w:rFonts w:hint="eastAsia" w:ascii="仿宋" w:hAnsi="仿宋" w:eastAsia="仿宋"/>
          <w:b/>
          <w:color w:val="000000"/>
          <w:sz w:val="24"/>
          <w:highlight w:val="none"/>
        </w:rPr>
        <w:t>四、中标办法</w:t>
      </w:r>
    </w:p>
    <w:p>
      <w:pPr>
        <w:ind w:firstLine="480" w:firstLineChars="200"/>
        <w:contextualSpacing/>
        <w:jc w:val="left"/>
        <w:rPr>
          <w:rFonts w:ascii="仿宋" w:hAnsi="仿宋" w:eastAsia="仿宋"/>
          <w:sz w:val="24"/>
          <w:highlight w:val="none"/>
        </w:rPr>
      </w:pPr>
      <w:r>
        <w:rPr>
          <w:rFonts w:hint="eastAsia" w:ascii="仿宋" w:hAnsi="仿宋" w:eastAsia="仿宋"/>
          <w:sz w:val="24"/>
          <w:highlight w:val="none"/>
        </w:rPr>
        <w:t>本次评标采用综合评分法，总分为100分，其中价格分</w:t>
      </w:r>
      <w:r>
        <w:rPr>
          <w:rFonts w:ascii="仿宋" w:hAnsi="仿宋" w:eastAsia="仿宋"/>
          <w:sz w:val="24"/>
          <w:highlight w:val="none"/>
        </w:rPr>
        <w:t>1</w:t>
      </w:r>
      <w:r>
        <w:rPr>
          <w:rFonts w:hint="eastAsia" w:ascii="仿宋" w:hAnsi="仿宋" w:eastAsia="仿宋"/>
          <w:sz w:val="24"/>
          <w:highlight w:val="none"/>
        </w:rPr>
        <w:t>0分，商务技术及资格部分</w:t>
      </w:r>
      <w:r>
        <w:rPr>
          <w:rFonts w:ascii="仿宋" w:hAnsi="仿宋" w:eastAsia="仿宋"/>
          <w:sz w:val="24"/>
          <w:highlight w:val="none"/>
        </w:rPr>
        <w:t>9</w:t>
      </w:r>
      <w:r>
        <w:rPr>
          <w:rFonts w:hint="eastAsia" w:ascii="仿宋" w:hAnsi="仿宋" w:eastAsia="仿宋"/>
          <w:sz w:val="24"/>
          <w:highlight w:val="none"/>
        </w:rPr>
        <w:t>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highlight w:val="none"/>
        </w:rPr>
      </w:pPr>
      <w:r>
        <w:rPr>
          <w:rFonts w:hint="eastAsia" w:ascii="仿宋" w:hAnsi="仿宋" w:eastAsia="仿宋"/>
          <w:sz w:val="24"/>
          <w:highlight w:val="none"/>
        </w:rPr>
        <w:t>投标人评标综合得分=价格分+(商务技术及资格部分)。</w:t>
      </w:r>
    </w:p>
    <w:p>
      <w:pPr>
        <w:ind w:firstLine="482" w:firstLineChars="200"/>
        <w:jc w:val="left"/>
        <w:rPr>
          <w:rFonts w:ascii="仿宋" w:hAnsi="仿宋" w:eastAsia="仿宋"/>
          <w:b/>
          <w:sz w:val="24"/>
          <w:highlight w:val="none"/>
        </w:rPr>
      </w:pPr>
      <w:r>
        <w:rPr>
          <w:rFonts w:hint="eastAsia" w:ascii="仿宋" w:hAnsi="仿宋" w:eastAsia="仿宋"/>
          <w:b/>
          <w:sz w:val="24"/>
          <w:highlight w:val="none"/>
        </w:rPr>
        <w:t>1.价格分：10分。</w:t>
      </w:r>
    </w:p>
    <w:p>
      <w:pPr>
        <w:ind w:firstLine="480" w:firstLineChars="200"/>
        <w:jc w:val="left"/>
        <w:rPr>
          <w:rFonts w:ascii="仿宋" w:hAnsi="仿宋" w:eastAsia="仿宋"/>
          <w:sz w:val="24"/>
          <w:highlight w:val="none"/>
        </w:rPr>
      </w:pPr>
      <w:r>
        <w:rPr>
          <w:rFonts w:hint="eastAsia" w:ascii="仿宋" w:hAnsi="仿宋" w:eastAsia="仿宋"/>
          <w:sz w:val="24"/>
          <w:highlight w:val="none"/>
        </w:rPr>
        <w:t>投标报价高于采购预算的，则该报价为无效报价。在报价允许范围内，投标人中报价最低的为评标基准价，其价格分为满分，其他投标人的价格分按照下列公式计算：价格分=（评标基准价/投标人报价）×100。</w:t>
      </w:r>
    </w:p>
    <w:p>
      <w:pPr>
        <w:ind w:firstLine="482" w:firstLineChars="200"/>
        <w:jc w:val="left"/>
        <w:rPr>
          <w:rFonts w:ascii="仿宋" w:hAnsi="仿宋" w:eastAsia="仿宋"/>
          <w:b/>
          <w:sz w:val="24"/>
          <w:highlight w:val="none"/>
        </w:rPr>
      </w:pPr>
      <w:r>
        <w:rPr>
          <w:rFonts w:hint="eastAsia" w:ascii="仿宋" w:hAnsi="仿宋" w:eastAsia="仿宋"/>
          <w:b/>
          <w:sz w:val="24"/>
          <w:highlight w:val="none"/>
        </w:rPr>
        <w:t>2.</w:t>
      </w:r>
      <w:r>
        <w:rPr>
          <w:rFonts w:hint="eastAsia" w:ascii="仿宋" w:hAnsi="仿宋" w:eastAsia="仿宋"/>
          <w:sz w:val="24"/>
          <w:highlight w:val="none"/>
        </w:rPr>
        <w:t>商务技术及资格部分</w:t>
      </w:r>
      <w:r>
        <w:rPr>
          <w:rFonts w:hint="eastAsia" w:ascii="仿宋" w:hAnsi="仿宋" w:eastAsia="仿宋"/>
          <w:b/>
          <w:sz w:val="24"/>
          <w:highlight w:val="none"/>
        </w:rPr>
        <w:t>：90分。</w:t>
      </w:r>
    </w:p>
    <w:p>
      <w:pPr>
        <w:ind w:firstLine="480" w:firstLineChars="200"/>
        <w:jc w:val="left"/>
        <w:rPr>
          <w:rFonts w:ascii="仿宋" w:hAnsi="仿宋" w:eastAsia="仿宋"/>
          <w:sz w:val="24"/>
        </w:rPr>
      </w:pPr>
      <w:r>
        <w:rPr>
          <w:rFonts w:hint="eastAsia" w:ascii="仿宋" w:hAnsi="仿宋" w:eastAsia="仿宋"/>
          <w:sz w:val="24"/>
        </w:rPr>
        <w:t>本部分按照评标小组成员的独立评分结果汇总数的算术平均分计算，计算公式为：得分=（评标小组所有成员评分合计数）/（评标小组组成人员数）</w:t>
      </w:r>
    </w:p>
    <w:tbl>
      <w:tblPr>
        <w:tblStyle w:val="15"/>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20"/>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blHeader/>
        </w:trPr>
        <w:tc>
          <w:tcPr>
            <w:tcW w:w="1286" w:type="dxa"/>
            <w:shd w:val="clear" w:color="auto" w:fill="B3B3B3"/>
            <w:vAlign w:val="center"/>
          </w:tcPr>
          <w:p>
            <w:pPr>
              <w:spacing w:line="500" w:lineRule="exact"/>
              <w:ind w:firstLine="241" w:firstLineChars="100"/>
              <w:rPr>
                <w:rFonts w:ascii="仿宋" w:hAnsi="仿宋" w:eastAsia="仿宋" w:cs="仿宋"/>
                <w:b/>
                <w:bCs/>
                <w:kern w:val="0"/>
                <w:sz w:val="24"/>
              </w:rPr>
            </w:pPr>
            <w:r>
              <w:rPr>
                <w:rFonts w:hint="eastAsia" w:ascii="仿宋" w:hAnsi="仿宋" w:eastAsia="仿宋" w:cs="仿宋"/>
                <w:b/>
                <w:bCs/>
                <w:kern w:val="0"/>
                <w:sz w:val="24"/>
              </w:rPr>
              <w:t>评分项目</w:t>
            </w:r>
          </w:p>
        </w:tc>
        <w:tc>
          <w:tcPr>
            <w:tcW w:w="1720" w:type="dxa"/>
            <w:shd w:val="clear" w:color="auto" w:fill="B3B3B3"/>
            <w:vAlign w:val="center"/>
          </w:tcPr>
          <w:p>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分值</w:t>
            </w:r>
          </w:p>
        </w:tc>
        <w:tc>
          <w:tcPr>
            <w:tcW w:w="6133" w:type="dxa"/>
            <w:shd w:val="clear" w:color="auto" w:fill="B3B3B3"/>
            <w:vAlign w:val="center"/>
          </w:tcPr>
          <w:p>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trPr>
        <w:tc>
          <w:tcPr>
            <w:tcW w:w="1286" w:type="dxa"/>
            <w:vMerge w:val="restart"/>
            <w:vAlign w:val="center"/>
          </w:tcPr>
          <w:p>
            <w:pPr>
              <w:spacing w:line="5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技术分</w:t>
            </w:r>
          </w:p>
          <w:p>
            <w:pPr>
              <w:spacing w:line="500" w:lineRule="exact"/>
              <w:jc w:val="center"/>
              <w:rPr>
                <w:rFonts w:ascii="仿宋" w:hAnsi="仿宋" w:eastAsia="仿宋" w:cs="仿宋"/>
                <w:snapToGrid w:val="0"/>
                <w:kern w:val="0"/>
                <w:sz w:val="24"/>
              </w:rPr>
            </w:pPr>
            <w:r>
              <w:rPr>
                <w:rFonts w:hint="eastAsia" w:ascii="仿宋" w:hAnsi="仿宋" w:eastAsia="仿宋" w:cs="仿宋"/>
                <w:snapToGrid w:val="0"/>
                <w:kern w:val="0"/>
                <w:sz w:val="24"/>
              </w:rPr>
              <w:t>（</w:t>
            </w:r>
            <w:r>
              <w:rPr>
                <w:rFonts w:ascii="仿宋" w:hAnsi="仿宋" w:eastAsia="仿宋" w:cs="仿宋"/>
                <w:snapToGrid w:val="0"/>
                <w:kern w:val="0"/>
                <w:sz w:val="24"/>
              </w:rPr>
              <w:t>90</w:t>
            </w:r>
            <w:r>
              <w:rPr>
                <w:rFonts w:hint="eastAsia" w:ascii="仿宋" w:hAnsi="仿宋" w:eastAsia="仿宋" w:cs="仿宋"/>
                <w:snapToGrid w:val="0"/>
                <w:kern w:val="0"/>
                <w:sz w:val="24"/>
              </w:rPr>
              <w:t>分）</w:t>
            </w:r>
          </w:p>
        </w:tc>
        <w:tc>
          <w:tcPr>
            <w:tcW w:w="1720" w:type="dxa"/>
            <w:vAlign w:val="center"/>
          </w:tcPr>
          <w:p>
            <w:pPr>
              <w:spacing w:line="500" w:lineRule="exact"/>
              <w:jc w:val="center"/>
              <w:rPr>
                <w:rFonts w:ascii="仿宋" w:hAnsi="仿宋" w:eastAsia="仿宋" w:cs="仿宋_GB2312"/>
                <w:bCs/>
                <w:sz w:val="24"/>
              </w:rPr>
            </w:pPr>
            <w:r>
              <w:rPr>
                <w:rFonts w:hint="eastAsia" w:ascii="仿宋" w:hAnsi="仿宋" w:eastAsia="仿宋" w:cs="仿宋_GB2312"/>
                <w:bCs/>
                <w:sz w:val="24"/>
              </w:rPr>
              <w:t>项目理解与分析</w:t>
            </w:r>
          </w:p>
          <w:p>
            <w:pPr>
              <w:spacing w:line="500" w:lineRule="exact"/>
              <w:jc w:val="center"/>
              <w:rPr>
                <w:rFonts w:ascii="仿宋" w:hAnsi="仿宋" w:eastAsia="仿宋" w:cs="仿宋"/>
                <w:sz w:val="24"/>
              </w:rPr>
            </w:pPr>
            <w:r>
              <w:rPr>
                <w:rFonts w:ascii="仿宋" w:hAnsi="仿宋" w:eastAsia="仿宋" w:cs="仿宋"/>
                <w:snapToGrid w:val="0"/>
                <w:kern w:val="0"/>
                <w:sz w:val="24"/>
              </w:rPr>
              <w:t>5</w:t>
            </w:r>
            <w:r>
              <w:rPr>
                <w:rFonts w:hint="eastAsia" w:ascii="仿宋" w:hAnsi="仿宋" w:eastAsia="仿宋" w:cs="仿宋"/>
                <w:snapToGrid w:val="0"/>
                <w:kern w:val="0"/>
                <w:sz w:val="24"/>
              </w:rPr>
              <w:t>分</w:t>
            </w:r>
          </w:p>
        </w:tc>
        <w:tc>
          <w:tcPr>
            <w:tcW w:w="6133" w:type="dxa"/>
            <w:vAlign w:val="center"/>
          </w:tcPr>
          <w:p>
            <w:pPr>
              <w:spacing w:line="360" w:lineRule="exact"/>
              <w:jc w:val="left"/>
              <w:outlineLvl w:val="0"/>
              <w:rPr>
                <w:rFonts w:ascii="仿宋" w:hAnsi="仿宋" w:eastAsia="仿宋" w:cs="仿宋_GB2312"/>
                <w:bCs/>
                <w:sz w:val="24"/>
              </w:rPr>
            </w:pPr>
            <w:r>
              <w:rPr>
                <w:rFonts w:hint="eastAsia" w:ascii="仿宋" w:hAnsi="仿宋" w:eastAsia="仿宋" w:cs="仿宋_GB2312"/>
                <w:bCs/>
                <w:sz w:val="24"/>
              </w:rPr>
              <w:t>项目理解与分析（0-5分）：</w:t>
            </w:r>
          </w:p>
          <w:p>
            <w:pPr>
              <w:spacing w:line="360" w:lineRule="exact"/>
              <w:jc w:val="left"/>
              <w:outlineLvl w:val="0"/>
              <w:rPr>
                <w:rFonts w:ascii="仿宋" w:hAnsi="仿宋" w:eastAsia="仿宋" w:cs="仿宋_GB2312"/>
                <w:bCs/>
                <w:sz w:val="24"/>
              </w:rPr>
            </w:pPr>
            <w:r>
              <w:rPr>
                <w:rFonts w:hint="eastAsia" w:ascii="仿宋" w:hAnsi="仿宋" w:eastAsia="仿宋" w:cs="仿宋_GB2312"/>
                <w:bCs/>
                <w:sz w:val="24"/>
              </w:rPr>
              <w:t>根据投标人对本项目总体建设现状的了解与剖析、现有工作基础及相关的规范与标准的熟悉程度是否全面、到位进行综合比较打分。理解全面、到位的得3.1-5分；理解基本全面、到位的得1.1-3分；理解较为简单或存在缺漏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spacing w:line="500" w:lineRule="exact"/>
              <w:jc w:val="center"/>
              <w:rPr>
                <w:rFonts w:ascii="仿宋" w:hAnsi="仿宋" w:eastAsia="仿宋" w:cs="仿宋_GB2312"/>
                <w:sz w:val="24"/>
              </w:rPr>
            </w:pPr>
            <w:r>
              <w:rPr>
                <w:rFonts w:hint="eastAsia" w:ascii="仿宋" w:hAnsi="仿宋" w:eastAsia="仿宋" w:cs="仿宋_GB2312"/>
                <w:sz w:val="24"/>
              </w:rPr>
              <w:t>基础数据采集</w:t>
            </w:r>
            <w:r>
              <w:rPr>
                <w:rFonts w:hint="eastAsia" w:ascii="仿宋" w:hAnsi="仿宋" w:eastAsia="仿宋" w:cs="仿宋_GB2312"/>
                <w:bCs/>
                <w:sz w:val="24"/>
              </w:rPr>
              <w:t>服务</w:t>
            </w:r>
            <w:r>
              <w:rPr>
                <w:rFonts w:hint="eastAsia" w:ascii="仿宋" w:hAnsi="仿宋" w:eastAsia="仿宋" w:cs="仿宋_GB2312"/>
                <w:sz w:val="24"/>
              </w:rPr>
              <w:t>方案</w:t>
            </w:r>
          </w:p>
          <w:p>
            <w:pPr>
              <w:spacing w:line="500" w:lineRule="exact"/>
              <w:jc w:val="center"/>
              <w:rPr>
                <w:rFonts w:ascii="仿宋" w:hAnsi="仿宋" w:eastAsia="仿宋" w:cs="仿宋"/>
                <w:snapToGrid w:val="0"/>
                <w:kern w:val="0"/>
                <w:sz w:val="24"/>
              </w:rPr>
            </w:pPr>
            <w:r>
              <w:rPr>
                <w:rFonts w:hint="eastAsia" w:ascii="仿宋" w:hAnsi="仿宋" w:eastAsia="仿宋" w:cs="仿宋_GB2312"/>
                <w:sz w:val="24"/>
              </w:rPr>
              <w:t>6</w:t>
            </w:r>
            <w:r>
              <w:rPr>
                <w:rFonts w:hint="eastAsia" w:ascii="仿宋" w:hAnsi="仿宋" w:eastAsia="仿宋" w:cs="仿宋"/>
                <w:snapToGrid w:val="0"/>
                <w:kern w:val="0"/>
                <w:sz w:val="24"/>
              </w:rPr>
              <w:t>分</w:t>
            </w:r>
          </w:p>
        </w:tc>
        <w:tc>
          <w:tcPr>
            <w:tcW w:w="6133" w:type="dxa"/>
            <w:vAlign w:val="center"/>
          </w:tcPr>
          <w:p>
            <w:pPr>
              <w:spacing w:line="340" w:lineRule="exact"/>
              <w:jc w:val="left"/>
              <w:outlineLvl w:val="0"/>
              <w:rPr>
                <w:rFonts w:ascii="仿宋" w:hAnsi="仿宋" w:eastAsia="仿宋" w:cs="仿宋_GB2312"/>
                <w:bCs/>
                <w:sz w:val="24"/>
              </w:rPr>
            </w:pPr>
            <w:r>
              <w:rPr>
                <w:rFonts w:hint="eastAsia" w:ascii="仿宋" w:hAnsi="仿宋" w:eastAsia="仿宋" w:cs="仿宋_GB2312"/>
                <w:sz w:val="24"/>
              </w:rPr>
              <w:t>基础数据采集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（0-6分）：</w:t>
            </w:r>
          </w:p>
          <w:p>
            <w:pPr>
              <w:spacing w:line="340" w:lineRule="exact"/>
              <w:jc w:val="left"/>
              <w:outlineLvl w:val="0"/>
              <w:rPr>
                <w:rFonts w:ascii="仿宋" w:hAnsi="仿宋" w:eastAsia="仿宋" w:cs="仿宋_GB2312"/>
                <w:bCs/>
                <w:sz w:val="24"/>
              </w:rPr>
            </w:pPr>
            <w:r>
              <w:rPr>
                <w:rFonts w:hint="eastAsia" w:ascii="仿宋" w:hAnsi="仿宋" w:eastAsia="仿宋" w:cs="仿宋_GB2312"/>
                <w:bCs/>
                <w:sz w:val="24"/>
              </w:rPr>
              <w:t>根据投标人对本项目基础数据采集与需求制定的</w:t>
            </w:r>
            <w:r>
              <w:rPr>
                <w:rFonts w:hint="eastAsia" w:ascii="仿宋" w:hAnsi="仿宋" w:eastAsia="仿宋" w:cs="仿宋_GB2312"/>
                <w:sz w:val="24"/>
              </w:rPr>
              <w:t>基础数据采集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进行综合比较打分，包括自然环境</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、植被类型数据</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、植物资源数据</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、古树名木数据</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、珍稀植物数据</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、动物资源数据</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、珍稀动物数据</w:t>
            </w:r>
            <w:r>
              <w:rPr>
                <w:rFonts w:hint="eastAsia" w:ascii="仿宋" w:hAnsi="仿宋" w:eastAsia="仿宋" w:cs="仿宋_GB2312"/>
                <w:sz w:val="24"/>
              </w:rPr>
              <w:t>采集</w:t>
            </w:r>
            <w:r>
              <w:rPr>
                <w:rFonts w:hint="eastAsia" w:ascii="仿宋" w:hAnsi="仿宋" w:eastAsia="仿宋" w:cs="仿宋_GB2312"/>
                <w:bCs/>
                <w:sz w:val="24"/>
              </w:rPr>
              <w:t>服务</w:t>
            </w:r>
            <w:r>
              <w:rPr>
                <w:rFonts w:hint="eastAsia" w:ascii="仿宋" w:hAnsi="仿宋" w:eastAsia="仿宋" w:cs="仿宋_GB2312"/>
                <w:sz w:val="24"/>
              </w:rPr>
              <w:t>方案</w:t>
            </w:r>
            <w:r>
              <w:rPr>
                <w:rFonts w:hint="eastAsia" w:ascii="仿宋" w:hAnsi="仿宋" w:eastAsia="仿宋" w:cs="仿宋_GB2312"/>
                <w:bCs/>
                <w:sz w:val="24"/>
              </w:rPr>
              <w:t>。</w:t>
            </w:r>
            <w:r>
              <w:rPr>
                <w:rFonts w:hint="eastAsia" w:ascii="仿宋" w:hAnsi="仿宋" w:eastAsia="仿宋" w:cs="仿宋_GB2312"/>
                <w:sz w:val="24"/>
              </w:rPr>
              <w:t>方案</w:t>
            </w:r>
            <w:r>
              <w:rPr>
                <w:rFonts w:hint="eastAsia" w:ascii="仿宋" w:hAnsi="仿宋" w:eastAsia="仿宋" w:cs="仿宋_GB2312"/>
                <w:bCs/>
                <w:sz w:val="24"/>
                <w:lang w:val="zh-CN"/>
              </w:rPr>
              <w:t>合理、全面、到位的</w:t>
            </w:r>
            <w:r>
              <w:rPr>
                <w:rFonts w:hint="eastAsia" w:ascii="仿宋" w:hAnsi="仿宋" w:eastAsia="仿宋" w:cs="仿宋_GB2312"/>
                <w:bCs/>
                <w:sz w:val="24"/>
              </w:rPr>
              <w:t>得4.1-6分；</w:t>
            </w:r>
            <w:r>
              <w:rPr>
                <w:rFonts w:hint="eastAsia" w:ascii="仿宋" w:hAnsi="仿宋" w:eastAsia="仿宋" w:cs="仿宋_GB2312"/>
                <w:sz w:val="24"/>
              </w:rPr>
              <w:t>方案基本</w:t>
            </w:r>
            <w:r>
              <w:rPr>
                <w:rFonts w:hint="eastAsia" w:ascii="仿宋" w:hAnsi="仿宋" w:eastAsia="仿宋" w:cs="仿宋_GB2312"/>
                <w:bCs/>
                <w:sz w:val="24"/>
                <w:lang w:val="zh-CN"/>
              </w:rPr>
              <w:t>合理、全面、到位的得</w:t>
            </w:r>
            <w:r>
              <w:rPr>
                <w:rFonts w:hint="eastAsia" w:ascii="仿宋" w:hAnsi="仿宋" w:eastAsia="仿宋" w:cs="仿宋_GB2312"/>
                <w:bCs/>
                <w:sz w:val="24"/>
              </w:rPr>
              <w:t>2.1-4分；</w:t>
            </w:r>
            <w:r>
              <w:rPr>
                <w:rFonts w:hint="eastAsia" w:ascii="仿宋" w:hAnsi="仿宋" w:eastAsia="仿宋" w:cs="仿宋_GB2312"/>
                <w:bCs/>
                <w:sz w:val="24"/>
                <w:lang w:val="zh-CN"/>
              </w:rPr>
              <w:t>方案较为简单或存在缺漏</w:t>
            </w:r>
            <w:r>
              <w:rPr>
                <w:rFonts w:hint="eastAsia" w:ascii="仿宋" w:hAnsi="仿宋" w:eastAsia="仿宋" w:cs="仿宋_GB2312"/>
                <w:bCs/>
                <w:sz w:val="24"/>
              </w:rPr>
              <w:t>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8"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spacing w:line="500" w:lineRule="exact"/>
              <w:jc w:val="center"/>
              <w:rPr>
                <w:rFonts w:ascii="仿宋" w:hAnsi="仿宋" w:eastAsia="仿宋" w:cs="仿宋"/>
                <w:snapToGrid w:val="0"/>
                <w:kern w:val="0"/>
                <w:sz w:val="24"/>
              </w:rPr>
            </w:pPr>
            <w:r>
              <w:rPr>
                <w:rFonts w:hint="eastAsia" w:ascii="仿宋" w:hAnsi="仿宋" w:eastAsia="仿宋" w:cs="仿宋_GB2312"/>
                <w:bCs/>
                <w:sz w:val="24"/>
              </w:rPr>
              <w:t>系统平台建设服务方案6</w:t>
            </w:r>
            <w:r>
              <w:rPr>
                <w:rFonts w:hint="eastAsia" w:ascii="仿宋" w:hAnsi="仿宋" w:eastAsia="仿宋" w:cs="仿宋"/>
                <w:snapToGrid w:val="0"/>
                <w:kern w:val="0"/>
                <w:sz w:val="24"/>
              </w:rPr>
              <w:t>分</w:t>
            </w:r>
          </w:p>
        </w:tc>
        <w:tc>
          <w:tcPr>
            <w:tcW w:w="6133" w:type="dxa"/>
            <w:vAlign w:val="center"/>
          </w:tcPr>
          <w:p>
            <w:pPr>
              <w:spacing w:line="340" w:lineRule="exact"/>
              <w:rPr>
                <w:rFonts w:ascii="仿宋" w:hAnsi="仿宋" w:eastAsia="仿宋" w:cs="仿宋_GB2312"/>
                <w:bCs/>
                <w:sz w:val="24"/>
              </w:rPr>
            </w:pPr>
            <w:r>
              <w:rPr>
                <w:rFonts w:hint="eastAsia" w:ascii="仿宋" w:hAnsi="仿宋" w:eastAsia="仿宋" w:cs="仿宋_GB2312"/>
                <w:bCs/>
                <w:sz w:val="24"/>
              </w:rPr>
              <w:t>系统平台建设服务方案（0-6分）：</w:t>
            </w:r>
          </w:p>
          <w:p>
            <w:pPr>
              <w:pStyle w:val="13"/>
              <w:spacing w:line="500" w:lineRule="exact"/>
              <w:ind w:firstLine="0" w:firstLineChars="0"/>
              <w:rPr>
                <w:rFonts w:ascii="仿宋" w:hAnsi="仿宋" w:eastAsia="仿宋" w:cs="仿宋"/>
                <w:b/>
                <w:bCs/>
                <w:color w:val="FF0000"/>
                <w:kern w:val="2"/>
                <w:sz w:val="24"/>
                <w:szCs w:val="24"/>
                <w:highlight w:val="yellow"/>
              </w:rPr>
            </w:pPr>
            <w:r>
              <w:rPr>
                <w:rFonts w:hint="eastAsia" w:ascii="仿宋" w:hAnsi="仿宋" w:eastAsia="仿宋" w:cs="仿宋"/>
                <w:bCs/>
                <w:iCs/>
                <w:sz w:val="24"/>
              </w:rPr>
              <w:t>根据投标人对本项目的</w:t>
            </w:r>
            <w:r>
              <w:rPr>
                <w:rFonts w:hint="eastAsia" w:ascii="仿宋" w:hAnsi="仿宋" w:eastAsia="仿宋" w:cs="仿宋_GB2312"/>
                <w:bCs/>
                <w:sz w:val="24"/>
                <w:lang w:val="zh-CN"/>
              </w:rPr>
              <w:t>系统平台建设服务方案的完整性、合理性、规范性和可操作性</w:t>
            </w:r>
            <w:r>
              <w:rPr>
                <w:rFonts w:hint="eastAsia" w:ascii="仿宋" w:hAnsi="仿宋" w:eastAsia="仿宋" w:cs="仿宋"/>
                <w:bCs/>
                <w:iCs/>
                <w:sz w:val="24"/>
              </w:rPr>
              <w:t>进行综合比较评分，包括数据驾驶舱</w:t>
            </w:r>
            <w:r>
              <w:rPr>
                <w:rFonts w:hint="eastAsia" w:ascii="仿宋" w:hAnsi="仿宋" w:eastAsia="仿宋" w:cs="仿宋_GB2312"/>
                <w:bCs/>
                <w:sz w:val="24"/>
                <w:lang w:val="zh-CN"/>
              </w:rPr>
              <w:t>服务方案</w:t>
            </w:r>
            <w:r>
              <w:rPr>
                <w:rFonts w:hint="eastAsia" w:ascii="仿宋" w:hAnsi="仿宋" w:eastAsia="仿宋" w:cs="仿宋"/>
                <w:bCs/>
                <w:iCs/>
                <w:sz w:val="24"/>
              </w:rPr>
              <w:t>、数据库查询系统</w:t>
            </w:r>
            <w:r>
              <w:rPr>
                <w:rFonts w:hint="eastAsia" w:ascii="仿宋" w:hAnsi="仿宋" w:eastAsia="仿宋" w:cs="仿宋_GB2312"/>
                <w:bCs/>
                <w:sz w:val="24"/>
                <w:lang w:val="zh-CN"/>
              </w:rPr>
              <w:t>服务方案</w:t>
            </w:r>
            <w:r>
              <w:rPr>
                <w:rFonts w:hint="eastAsia" w:ascii="仿宋" w:hAnsi="仿宋" w:eastAsia="仿宋" w:cs="仿宋"/>
                <w:bCs/>
                <w:iCs/>
                <w:sz w:val="24"/>
              </w:rPr>
              <w:t>、数据存储计算平台</w:t>
            </w:r>
            <w:r>
              <w:rPr>
                <w:rFonts w:hint="eastAsia" w:ascii="仿宋" w:hAnsi="仿宋" w:eastAsia="仿宋" w:cs="仿宋_GB2312"/>
                <w:bCs/>
                <w:sz w:val="24"/>
                <w:lang w:val="zh-CN"/>
              </w:rPr>
              <w:t>建设服务方案。方案合理、全面、到位的</w:t>
            </w:r>
            <w:r>
              <w:rPr>
                <w:rFonts w:hint="eastAsia" w:ascii="仿宋" w:hAnsi="仿宋" w:eastAsia="仿宋" w:cs="仿宋_GB2312"/>
                <w:bCs/>
                <w:sz w:val="24"/>
              </w:rPr>
              <w:t>得4.1-6分；</w:t>
            </w:r>
            <w:r>
              <w:rPr>
                <w:rFonts w:hint="eastAsia" w:ascii="仿宋" w:hAnsi="仿宋" w:eastAsia="仿宋" w:cs="仿宋_GB2312"/>
                <w:sz w:val="24"/>
              </w:rPr>
              <w:t>方案基本</w:t>
            </w:r>
            <w:r>
              <w:rPr>
                <w:rFonts w:hint="eastAsia" w:ascii="仿宋" w:hAnsi="仿宋" w:eastAsia="仿宋" w:cs="仿宋_GB2312"/>
                <w:bCs/>
                <w:sz w:val="24"/>
                <w:lang w:val="zh-CN"/>
              </w:rPr>
              <w:t>合理、全面、到位的得</w:t>
            </w:r>
            <w:r>
              <w:rPr>
                <w:rFonts w:hint="eastAsia" w:ascii="仿宋" w:hAnsi="仿宋" w:eastAsia="仿宋" w:cs="仿宋_GB2312"/>
                <w:bCs/>
                <w:sz w:val="24"/>
              </w:rPr>
              <w:t>2.1-4分；</w:t>
            </w:r>
            <w:r>
              <w:rPr>
                <w:rFonts w:hint="eastAsia" w:ascii="仿宋" w:hAnsi="仿宋" w:eastAsia="仿宋" w:cs="仿宋_GB2312"/>
                <w:bCs/>
                <w:sz w:val="24"/>
                <w:lang w:val="zh-CN"/>
              </w:rPr>
              <w:t>方案较为简单或存在缺漏</w:t>
            </w:r>
            <w:r>
              <w:rPr>
                <w:rFonts w:hint="eastAsia" w:ascii="仿宋" w:hAnsi="仿宋" w:eastAsia="仿宋" w:cs="仿宋_GB2312"/>
                <w:bCs/>
                <w:sz w:val="24"/>
              </w:rPr>
              <w:t>的得0-2分</w:t>
            </w:r>
            <w:r>
              <w:rPr>
                <w:rFonts w:hint="eastAsia" w:ascii="仿宋" w:hAnsi="仿宋" w:eastAsia="仿宋" w:cs="仿宋"/>
                <w:bCs/>
                <w:i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spacing w:line="500" w:lineRule="exact"/>
              <w:jc w:val="center"/>
              <w:rPr>
                <w:rFonts w:ascii="仿宋" w:hAnsi="仿宋" w:eastAsia="仿宋" w:cs="仿宋"/>
                <w:bCs/>
                <w:iCs/>
                <w:sz w:val="24"/>
              </w:rPr>
            </w:pPr>
            <w:r>
              <w:rPr>
                <w:rFonts w:hint="eastAsia" w:ascii="仿宋" w:hAnsi="仿宋" w:eastAsia="仿宋" w:cs="仿宋"/>
                <w:bCs/>
                <w:iCs/>
                <w:sz w:val="24"/>
              </w:rPr>
              <w:t>项目技术方案</w:t>
            </w:r>
          </w:p>
          <w:p>
            <w:pPr>
              <w:spacing w:line="500" w:lineRule="exact"/>
              <w:jc w:val="center"/>
              <w:rPr>
                <w:rFonts w:ascii="仿宋" w:hAnsi="仿宋" w:eastAsia="仿宋" w:cs="仿宋"/>
                <w:sz w:val="24"/>
              </w:rPr>
            </w:pPr>
            <w:r>
              <w:rPr>
                <w:rFonts w:ascii="仿宋" w:hAnsi="仿宋" w:eastAsia="仿宋" w:cs="仿宋"/>
                <w:snapToGrid w:val="0"/>
                <w:kern w:val="0"/>
                <w:sz w:val="24"/>
              </w:rPr>
              <w:t>18</w:t>
            </w:r>
            <w:r>
              <w:rPr>
                <w:rFonts w:hint="eastAsia" w:ascii="仿宋" w:hAnsi="仿宋" w:eastAsia="仿宋" w:cs="仿宋"/>
                <w:snapToGrid w:val="0"/>
                <w:kern w:val="0"/>
                <w:sz w:val="24"/>
              </w:rPr>
              <w:t>分</w:t>
            </w:r>
          </w:p>
        </w:tc>
        <w:tc>
          <w:tcPr>
            <w:tcW w:w="6133" w:type="dxa"/>
            <w:vAlign w:val="center"/>
          </w:tcPr>
          <w:p>
            <w:pPr>
              <w:spacing w:line="340" w:lineRule="exact"/>
              <w:rPr>
                <w:rFonts w:ascii="仿宋" w:hAnsi="仿宋" w:eastAsia="仿宋" w:cs="仿宋"/>
                <w:bCs/>
                <w:iCs/>
                <w:sz w:val="24"/>
              </w:rPr>
            </w:pPr>
            <w:r>
              <w:rPr>
                <w:rFonts w:hint="eastAsia" w:ascii="仿宋" w:hAnsi="仿宋" w:eastAsia="仿宋" w:cs="仿宋"/>
                <w:bCs/>
                <w:iCs/>
                <w:sz w:val="24"/>
              </w:rPr>
              <w:t>项目技术方案（0-18分）：</w:t>
            </w:r>
          </w:p>
          <w:p>
            <w:pPr>
              <w:spacing w:line="340" w:lineRule="exact"/>
              <w:rPr>
                <w:rFonts w:ascii="仿宋" w:hAnsi="仿宋" w:eastAsia="仿宋" w:cs="仿宋"/>
                <w:bCs/>
                <w:iCs/>
                <w:sz w:val="24"/>
              </w:rPr>
            </w:pPr>
            <w:r>
              <w:rPr>
                <w:rFonts w:hint="eastAsia" w:ascii="仿宋" w:hAnsi="仿宋" w:eastAsia="仿宋" w:cs="仿宋"/>
                <w:bCs/>
                <w:iCs/>
                <w:sz w:val="24"/>
              </w:rPr>
              <w:t>1、根据投标人对本项目制定的本底资源数据库建设方案进行综合比较打分。方案合理、全面、到位的得7.1-10分；方案基本合理、全面、到位的得3.1-7分；方案较为简单或存在缺漏的得0-3分；</w:t>
            </w:r>
          </w:p>
          <w:p>
            <w:pPr>
              <w:spacing w:line="340" w:lineRule="exact"/>
              <w:rPr>
                <w:rFonts w:ascii="仿宋" w:hAnsi="仿宋" w:eastAsia="仿宋" w:cs="仿宋"/>
                <w:bCs/>
                <w:iCs/>
                <w:sz w:val="24"/>
              </w:rPr>
            </w:pPr>
            <w:r>
              <w:rPr>
                <w:rFonts w:hint="eastAsia" w:ascii="仿宋" w:hAnsi="仿宋" w:eastAsia="仿宋" w:cs="仿宋"/>
                <w:bCs/>
                <w:iCs/>
                <w:sz w:val="24"/>
              </w:rPr>
              <w:t>2、根据投标人对本项目制定的数据中台建设技术方案进行综合比较打分。方案合理、全面、到位的得3.1-5分；方案基本合理、全面、到位的得1.1-3分；方案较为简单或存在缺漏的得0-1分；</w:t>
            </w:r>
          </w:p>
          <w:p>
            <w:pPr>
              <w:spacing w:line="340" w:lineRule="exact"/>
              <w:rPr>
                <w:rFonts w:ascii="仿宋" w:hAnsi="仿宋" w:eastAsia="仿宋" w:cs="仿宋"/>
                <w:bCs/>
                <w:iCs/>
                <w:sz w:val="24"/>
              </w:rPr>
            </w:pPr>
            <w:r>
              <w:rPr>
                <w:rFonts w:hint="eastAsia" w:ascii="仿宋" w:hAnsi="仿宋" w:eastAsia="仿宋" w:cs="仿宋"/>
                <w:bCs/>
                <w:iCs/>
                <w:sz w:val="24"/>
              </w:rPr>
              <w:t>3、根据投标人对本项目制定的数据驾驶舱建设技术方案进行综合比较打分。方案合理、全面、到位的得2.1-3分；方案基本合理、全面、到位的得1.1-2分；方案较为简单或存在缺漏的得0-1分；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spacing w:line="500" w:lineRule="exact"/>
              <w:jc w:val="center"/>
              <w:rPr>
                <w:rFonts w:ascii="仿宋" w:hAnsi="仿宋" w:eastAsia="仿宋" w:cs="仿宋_GB2312"/>
                <w:bCs/>
                <w:sz w:val="24"/>
              </w:rPr>
            </w:pPr>
            <w:r>
              <w:rPr>
                <w:rFonts w:hint="eastAsia" w:ascii="仿宋" w:hAnsi="仿宋" w:eastAsia="仿宋" w:cs="仿宋_GB2312"/>
                <w:bCs/>
                <w:sz w:val="24"/>
              </w:rPr>
              <w:t>重难点分析</w:t>
            </w:r>
          </w:p>
          <w:p>
            <w:pPr>
              <w:spacing w:line="500" w:lineRule="exact"/>
              <w:jc w:val="center"/>
              <w:rPr>
                <w:rFonts w:ascii="仿宋" w:hAnsi="仿宋" w:eastAsia="仿宋" w:cs="仿宋"/>
                <w:snapToGrid w:val="0"/>
                <w:kern w:val="0"/>
                <w:sz w:val="24"/>
              </w:rPr>
            </w:pPr>
            <w:r>
              <w:rPr>
                <w:rFonts w:hint="eastAsia" w:ascii="仿宋" w:hAnsi="仿宋" w:eastAsia="仿宋" w:cs="仿宋_GB2312"/>
                <w:bCs/>
                <w:sz w:val="24"/>
              </w:rPr>
              <w:t>8</w:t>
            </w:r>
            <w:r>
              <w:rPr>
                <w:rFonts w:hint="eastAsia" w:ascii="仿宋" w:hAnsi="仿宋" w:eastAsia="仿宋" w:cs="仿宋"/>
                <w:snapToGrid w:val="0"/>
                <w:kern w:val="0"/>
                <w:sz w:val="24"/>
              </w:rPr>
              <w:t>分</w:t>
            </w:r>
          </w:p>
        </w:tc>
        <w:tc>
          <w:tcPr>
            <w:tcW w:w="6133" w:type="dxa"/>
            <w:vAlign w:val="center"/>
          </w:tcPr>
          <w:p>
            <w:pPr>
              <w:spacing w:line="340" w:lineRule="exact"/>
              <w:jc w:val="left"/>
              <w:outlineLvl w:val="0"/>
              <w:rPr>
                <w:rFonts w:ascii="仿宋" w:hAnsi="仿宋" w:eastAsia="仿宋" w:cs="仿宋_GB2312"/>
                <w:bCs/>
                <w:sz w:val="24"/>
              </w:rPr>
            </w:pPr>
            <w:r>
              <w:rPr>
                <w:rFonts w:hint="eastAsia" w:ascii="仿宋" w:hAnsi="仿宋" w:eastAsia="仿宋" w:cs="仿宋_GB2312"/>
                <w:bCs/>
                <w:sz w:val="24"/>
              </w:rPr>
              <w:t>重难点分析（0-8分）：</w:t>
            </w:r>
          </w:p>
          <w:p>
            <w:pPr>
              <w:spacing w:line="340" w:lineRule="exact"/>
              <w:jc w:val="left"/>
              <w:outlineLvl w:val="0"/>
              <w:rPr>
                <w:rFonts w:ascii="仿宋" w:hAnsi="仿宋" w:eastAsia="仿宋" w:cs="仿宋_GB2312"/>
                <w:bCs/>
                <w:sz w:val="24"/>
              </w:rPr>
            </w:pPr>
            <w:r>
              <w:rPr>
                <w:rFonts w:hint="eastAsia" w:ascii="仿宋" w:hAnsi="仿宋" w:eastAsia="仿宋" w:cs="仿宋_GB2312"/>
                <w:bCs/>
                <w:sz w:val="24"/>
              </w:rPr>
              <w:t>1、根据投标人针对本项目重点和难点的分析是否全面、到位进行综合比较打分。分析全面、到位的得2.1-4分；分析基本全面、到位的得1.1-2分；分析较为简单或存在缺漏的得0-1分；</w:t>
            </w:r>
          </w:p>
          <w:p>
            <w:pPr>
              <w:spacing w:line="340" w:lineRule="exact"/>
              <w:jc w:val="left"/>
              <w:outlineLvl w:val="0"/>
              <w:rPr>
                <w:rFonts w:ascii="仿宋" w:hAnsi="仿宋" w:eastAsia="仿宋" w:cs="仿宋_GB2312"/>
                <w:bCs/>
                <w:sz w:val="24"/>
              </w:rPr>
            </w:pPr>
            <w:r>
              <w:rPr>
                <w:rFonts w:hint="eastAsia" w:ascii="仿宋" w:hAnsi="仿宋" w:eastAsia="仿宋" w:cs="仿宋_GB2312"/>
                <w:bCs/>
                <w:sz w:val="24"/>
              </w:rPr>
              <w:t>2、根据投标人针对本项目重点和难点的分析提供的解决措施是否全面、合理进行综合比较打分。解决措施具有针对性的得2.1-4分；解决措施针对性较弱的得1.1-2分；解决措施较为简单或存在缺漏或无解决措施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pStyle w:val="3"/>
              <w:numPr>
                <w:ilvl w:val="1"/>
                <w:numId w:val="0"/>
              </w:numPr>
              <w:spacing w:line="500" w:lineRule="exact"/>
              <w:jc w:val="center"/>
              <w:rPr>
                <w:rFonts w:ascii="仿宋" w:hAnsi="仿宋" w:eastAsia="仿宋" w:cs="仿宋_GB2312"/>
                <w:b w:val="0"/>
                <w:sz w:val="24"/>
                <w:szCs w:val="24"/>
              </w:rPr>
            </w:pPr>
            <w:r>
              <w:rPr>
                <w:rFonts w:hint="eastAsia" w:ascii="仿宋" w:hAnsi="仿宋" w:eastAsia="仿宋" w:cs="仿宋_GB2312"/>
                <w:b w:val="0"/>
                <w:sz w:val="24"/>
                <w:szCs w:val="24"/>
              </w:rPr>
              <w:t>项目质量保障措施</w:t>
            </w:r>
          </w:p>
          <w:p>
            <w:pPr>
              <w:pStyle w:val="3"/>
              <w:numPr>
                <w:ilvl w:val="1"/>
                <w:numId w:val="0"/>
              </w:numPr>
              <w:spacing w:line="500" w:lineRule="exact"/>
              <w:jc w:val="center"/>
              <w:rPr>
                <w:rFonts w:ascii="仿宋" w:hAnsi="仿宋" w:eastAsia="仿宋" w:cs="仿宋"/>
                <w:sz w:val="24"/>
                <w:szCs w:val="24"/>
              </w:rPr>
            </w:pPr>
            <w:r>
              <w:rPr>
                <w:rFonts w:ascii="仿宋" w:hAnsi="仿宋" w:eastAsia="仿宋" w:cs="仿宋"/>
                <w:b w:val="0"/>
                <w:bCs w:val="0"/>
                <w:kern w:val="0"/>
                <w:sz w:val="24"/>
                <w:szCs w:val="24"/>
              </w:rPr>
              <w:t>6</w:t>
            </w:r>
            <w:r>
              <w:rPr>
                <w:rFonts w:hint="eastAsia" w:ascii="仿宋" w:hAnsi="仿宋" w:eastAsia="仿宋" w:cs="仿宋"/>
                <w:b w:val="0"/>
                <w:bCs w:val="0"/>
                <w:kern w:val="0"/>
                <w:sz w:val="24"/>
                <w:szCs w:val="24"/>
              </w:rPr>
              <w:t>分</w:t>
            </w:r>
          </w:p>
        </w:tc>
        <w:tc>
          <w:tcPr>
            <w:tcW w:w="6133" w:type="dxa"/>
            <w:vAlign w:val="center"/>
          </w:tcPr>
          <w:p>
            <w:pPr>
              <w:spacing w:line="340" w:lineRule="exact"/>
              <w:jc w:val="left"/>
              <w:outlineLvl w:val="0"/>
              <w:rPr>
                <w:rFonts w:ascii="仿宋" w:hAnsi="仿宋" w:eastAsia="仿宋" w:cs="仿宋_GB2312"/>
                <w:bCs/>
                <w:sz w:val="24"/>
              </w:rPr>
            </w:pPr>
            <w:r>
              <w:rPr>
                <w:rFonts w:hint="eastAsia" w:ascii="仿宋" w:hAnsi="仿宋" w:eastAsia="仿宋" w:cs="仿宋_GB2312"/>
                <w:bCs/>
                <w:sz w:val="24"/>
                <w:lang w:val="zh-CN"/>
              </w:rPr>
              <w:t>项目质量</w:t>
            </w:r>
            <w:r>
              <w:rPr>
                <w:rFonts w:hint="eastAsia" w:ascii="仿宋" w:hAnsi="仿宋" w:eastAsia="仿宋" w:cs="仿宋_GB2312"/>
                <w:bCs/>
                <w:sz w:val="24"/>
              </w:rPr>
              <w:t>保障措施（0-6分）：根据投标人项目服务质量保障措施，确保服务期和服务质量的承诺等情况进行综合比较评分。措施合理、全面、可行的得4.1-6分；措施基本合理、全面、可行的得2.1-4分；措施较为简单或存在缺漏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pStyle w:val="3"/>
              <w:numPr>
                <w:ilvl w:val="1"/>
                <w:numId w:val="0"/>
              </w:numPr>
              <w:spacing w:line="500" w:lineRule="exact"/>
              <w:jc w:val="center"/>
              <w:rPr>
                <w:rFonts w:ascii="仿宋" w:hAnsi="仿宋" w:eastAsia="仿宋" w:cs="仿宋_GB2312"/>
                <w:b w:val="0"/>
                <w:bCs w:val="0"/>
                <w:sz w:val="24"/>
                <w:szCs w:val="24"/>
              </w:rPr>
            </w:pPr>
            <w:r>
              <w:rPr>
                <w:rFonts w:hint="eastAsia" w:ascii="仿宋" w:hAnsi="仿宋" w:eastAsia="仿宋" w:cs="仿宋_GB2312"/>
                <w:b w:val="0"/>
                <w:bCs w:val="0"/>
                <w:sz w:val="24"/>
                <w:szCs w:val="24"/>
              </w:rPr>
              <w:t>投标演示</w:t>
            </w:r>
          </w:p>
          <w:p>
            <w:pPr>
              <w:jc w:val="center"/>
            </w:pPr>
            <w:r>
              <w:rPr>
                <w:rFonts w:ascii="仿宋" w:hAnsi="仿宋" w:eastAsia="仿宋" w:cs="仿宋_GB2312"/>
                <w:sz w:val="24"/>
              </w:rPr>
              <w:t>30</w:t>
            </w:r>
            <w:r>
              <w:rPr>
                <w:rFonts w:hint="eastAsia" w:ascii="仿宋" w:hAnsi="仿宋" w:eastAsia="仿宋" w:cs="仿宋_GB2312"/>
                <w:sz w:val="24"/>
              </w:rPr>
              <w:t>分</w:t>
            </w:r>
          </w:p>
        </w:tc>
        <w:tc>
          <w:tcPr>
            <w:tcW w:w="6133" w:type="dxa"/>
            <w:vAlign w:val="center"/>
          </w:tcPr>
          <w:p>
            <w:pPr>
              <w:spacing w:line="340" w:lineRule="exact"/>
              <w:jc w:val="left"/>
              <w:outlineLvl w:val="0"/>
              <w:rPr>
                <w:rFonts w:ascii="仿宋" w:hAnsi="仿宋" w:eastAsia="仿宋" w:cs="仿宋_GB2312"/>
                <w:sz w:val="24"/>
              </w:rPr>
            </w:pPr>
            <w:r>
              <w:rPr>
                <w:rFonts w:hint="eastAsia" w:ascii="仿宋" w:hAnsi="仿宋" w:eastAsia="仿宋" w:cs="仿宋_GB2312"/>
                <w:sz w:val="24"/>
              </w:rPr>
              <w:t>投标演示（0-</w:t>
            </w:r>
            <w:r>
              <w:rPr>
                <w:rFonts w:ascii="仿宋" w:hAnsi="仿宋" w:eastAsia="仿宋" w:cs="仿宋_GB2312"/>
                <w:sz w:val="24"/>
              </w:rPr>
              <w:t>30</w:t>
            </w:r>
            <w:r>
              <w:rPr>
                <w:rFonts w:hint="eastAsia" w:ascii="仿宋" w:hAnsi="仿宋" w:eastAsia="仿宋" w:cs="仿宋_GB2312"/>
                <w:sz w:val="24"/>
              </w:rPr>
              <w:t>分）：以系统录屏视频形式展现，视频时间要求控制在15分钟以内，未演示不得分。</w:t>
            </w:r>
          </w:p>
          <w:p>
            <w:pPr>
              <w:spacing w:line="340" w:lineRule="exact"/>
              <w:jc w:val="left"/>
              <w:outlineLvl w:val="0"/>
              <w:rPr>
                <w:rFonts w:ascii="仿宋" w:hAnsi="仿宋" w:eastAsia="仿宋" w:cs="仿宋_GB2312"/>
                <w:bCs/>
                <w:sz w:val="24"/>
                <w:lang w:val="zh-CN"/>
              </w:rPr>
            </w:pPr>
            <w:r>
              <w:rPr>
                <w:rFonts w:hint="eastAsia" w:ascii="仿宋" w:hAnsi="仿宋" w:eastAsia="仿宋" w:cs="仿宋_GB2312"/>
                <w:sz w:val="24"/>
              </w:rPr>
              <w:t>根据各投标人演示情况完整性、功能模块的符合度、界面的友好性、界面美观度及操作性、可维护性等进行综合比较打分。完全满足完整性、功能模块的符合度、界面的友好性、界面美观度及操作性、可维护性得</w:t>
            </w:r>
            <w:r>
              <w:rPr>
                <w:rFonts w:ascii="仿宋" w:hAnsi="仿宋" w:eastAsia="仿宋" w:cs="仿宋_GB2312"/>
                <w:sz w:val="24"/>
              </w:rPr>
              <w:t>20</w:t>
            </w:r>
            <w:r>
              <w:rPr>
                <w:rFonts w:hint="eastAsia" w:ascii="仿宋" w:hAnsi="仿宋" w:eastAsia="仿宋" w:cs="仿宋_GB2312"/>
                <w:sz w:val="24"/>
              </w:rPr>
              <w:t>.1-</w:t>
            </w:r>
            <w:r>
              <w:rPr>
                <w:rFonts w:ascii="仿宋" w:hAnsi="仿宋" w:eastAsia="仿宋" w:cs="仿宋_GB2312"/>
                <w:sz w:val="24"/>
              </w:rPr>
              <w:t>30</w:t>
            </w:r>
            <w:r>
              <w:rPr>
                <w:rFonts w:hint="eastAsia" w:ascii="仿宋" w:hAnsi="仿宋" w:eastAsia="仿宋" w:cs="仿宋_GB2312"/>
                <w:sz w:val="24"/>
              </w:rPr>
              <w:t>分；部分满足完整性、功能模块的符合度、界面的友好性、界面美观度及操作性、可维护性得</w:t>
            </w:r>
            <w:r>
              <w:rPr>
                <w:rFonts w:ascii="仿宋" w:hAnsi="仿宋" w:eastAsia="仿宋" w:cs="仿宋_GB2312"/>
                <w:sz w:val="24"/>
              </w:rPr>
              <w:t>10</w:t>
            </w:r>
            <w:r>
              <w:rPr>
                <w:rFonts w:hint="eastAsia" w:ascii="仿宋" w:hAnsi="仿宋" w:eastAsia="仿宋" w:cs="仿宋_GB2312"/>
                <w:sz w:val="24"/>
              </w:rPr>
              <w:t>.1-</w:t>
            </w:r>
            <w:r>
              <w:rPr>
                <w:rFonts w:ascii="仿宋" w:hAnsi="仿宋" w:eastAsia="仿宋" w:cs="仿宋_GB2312"/>
                <w:sz w:val="24"/>
              </w:rPr>
              <w:t>20</w:t>
            </w:r>
            <w:r>
              <w:rPr>
                <w:rFonts w:hint="eastAsia" w:ascii="仿宋" w:hAnsi="仿宋" w:eastAsia="仿宋" w:cs="仿宋_GB2312"/>
                <w:sz w:val="24"/>
              </w:rPr>
              <w:t>分；完整性、功能模块的符合度、界面的友好性、界面美观度及操作性、可维护性存在缺漏的得0-</w:t>
            </w:r>
            <w:r>
              <w:rPr>
                <w:rFonts w:ascii="仿宋" w:hAnsi="仿宋" w:eastAsia="仿宋" w:cs="仿宋_GB2312"/>
                <w:sz w:val="24"/>
              </w:rPr>
              <w:t>10</w:t>
            </w:r>
            <w:r>
              <w:rPr>
                <w:rFonts w:hint="eastAsia" w:ascii="仿宋" w:hAnsi="仿宋" w:eastAsia="仿宋"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spacing w:line="500" w:lineRule="exact"/>
              <w:jc w:val="center"/>
              <w:rPr>
                <w:rFonts w:ascii="仿宋" w:hAnsi="仿宋" w:eastAsia="仿宋" w:cs="仿宋_GB2312"/>
                <w:bCs/>
                <w:sz w:val="24"/>
              </w:rPr>
            </w:pPr>
            <w:r>
              <w:rPr>
                <w:rFonts w:hint="eastAsia" w:ascii="仿宋" w:hAnsi="仿宋" w:eastAsia="仿宋" w:cs="仿宋_GB2312"/>
                <w:sz w:val="24"/>
              </w:rPr>
              <w:t>项目进度安排及</w:t>
            </w:r>
            <w:r>
              <w:rPr>
                <w:rFonts w:hint="eastAsia" w:ascii="仿宋" w:hAnsi="仿宋" w:eastAsia="仿宋" w:cs="仿宋_GB2312"/>
                <w:bCs/>
                <w:sz w:val="24"/>
              </w:rPr>
              <w:t>保证措施</w:t>
            </w:r>
          </w:p>
          <w:p>
            <w:pPr>
              <w:pStyle w:val="3"/>
              <w:numPr>
                <w:ilvl w:val="1"/>
                <w:numId w:val="0"/>
              </w:numPr>
              <w:spacing w:line="500" w:lineRule="exact"/>
              <w:jc w:val="center"/>
              <w:rPr>
                <w:rFonts w:ascii="仿宋" w:hAnsi="仿宋" w:eastAsia="仿宋" w:cs="仿宋_GB2312"/>
                <w:b w:val="0"/>
                <w:bCs w:val="0"/>
                <w:sz w:val="24"/>
                <w:szCs w:val="24"/>
              </w:rPr>
            </w:pPr>
            <w:r>
              <w:rPr>
                <w:rFonts w:hint="eastAsia" w:ascii="仿宋" w:hAnsi="仿宋" w:eastAsia="仿宋" w:cs="仿宋"/>
                <w:b w:val="0"/>
                <w:bCs w:val="0"/>
                <w:kern w:val="0"/>
                <w:sz w:val="24"/>
              </w:rPr>
              <w:t>6分</w:t>
            </w:r>
          </w:p>
        </w:tc>
        <w:tc>
          <w:tcPr>
            <w:tcW w:w="6133" w:type="dxa"/>
            <w:vAlign w:val="center"/>
          </w:tcPr>
          <w:p>
            <w:pPr>
              <w:spacing w:line="340" w:lineRule="exact"/>
              <w:jc w:val="left"/>
              <w:outlineLvl w:val="0"/>
              <w:rPr>
                <w:rFonts w:ascii="仿宋" w:hAnsi="仿宋" w:eastAsia="仿宋" w:cs="仿宋_GB2312"/>
                <w:sz w:val="24"/>
              </w:rPr>
            </w:pPr>
            <w:r>
              <w:rPr>
                <w:rFonts w:hint="eastAsia" w:ascii="仿宋" w:hAnsi="仿宋" w:eastAsia="仿宋" w:cs="仿宋_GB2312"/>
                <w:sz w:val="24"/>
              </w:rPr>
              <w:t>项目进度安排及</w:t>
            </w:r>
            <w:r>
              <w:rPr>
                <w:rFonts w:hint="eastAsia" w:ascii="仿宋" w:hAnsi="仿宋" w:eastAsia="仿宋" w:cs="仿宋_GB2312"/>
                <w:bCs/>
                <w:sz w:val="24"/>
              </w:rPr>
              <w:t>保证措施</w:t>
            </w:r>
            <w:r>
              <w:rPr>
                <w:rFonts w:hint="eastAsia" w:ascii="仿宋" w:hAnsi="仿宋" w:eastAsia="仿宋" w:cs="仿宋_GB2312"/>
                <w:sz w:val="24"/>
              </w:rPr>
              <w:t>（0-6分）：根据投标人针对本项目各项工作制定详细的项目进度安排及保证措施是否全面、准确、清晰进行综合比较打分。进度安排及保证措施全面、准确、清晰的得4.1-6分；进度安排及保证措施基本全面、准确、清晰的得2.1-4分；进度安排及保证措施较为简单或存在缺漏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trPr>
        <w:tc>
          <w:tcPr>
            <w:tcW w:w="1286" w:type="dxa"/>
            <w:vMerge w:val="continue"/>
            <w:vAlign w:val="center"/>
          </w:tcPr>
          <w:p>
            <w:pPr>
              <w:spacing w:line="500" w:lineRule="exact"/>
              <w:jc w:val="center"/>
              <w:rPr>
                <w:rFonts w:ascii="仿宋" w:hAnsi="仿宋" w:eastAsia="仿宋" w:cs="仿宋"/>
                <w:snapToGrid w:val="0"/>
                <w:kern w:val="0"/>
                <w:sz w:val="24"/>
              </w:rPr>
            </w:pPr>
          </w:p>
        </w:tc>
        <w:tc>
          <w:tcPr>
            <w:tcW w:w="1720" w:type="dxa"/>
            <w:vAlign w:val="center"/>
          </w:tcPr>
          <w:p>
            <w:pPr>
              <w:spacing w:line="500" w:lineRule="exact"/>
              <w:jc w:val="center"/>
              <w:rPr>
                <w:rFonts w:ascii="仿宋" w:hAnsi="仿宋" w:eastAsia="仿宋" w:cs="仿宋"/>
                <w:sz w:val="24"/>
              </w:rPr>
            </w:pPr>
            <w:r>
              <w:rPr>
                <w:rFonts w:hint="eastAsia" w:ascii="仿宋" w:hAnsi="仿宋" w:eastAsia="仿宋" w:cs="仿宋_GB2312"/>
                <w:bCs/>
                <w:sz w:val="24"/>
                <w:lang w:val="zh-CN"/>
              </w:rPr>
              <w:t>服务响应能力</w:t>
            </w:r>
            <w:r>
              <w:rPr>
                <w:rFonts w:ascii="仿宋" w:hAnsi="仿宋" w:eastAsia="仿宋" w:cs="仿宋"/>
                <w:kern w:val="0"/>
                <w:sz w:val="24"/>
              </w:rPr>
              <w:t>5</w:t>
            </w:r>
            <w:r>
              <w:rPr>
                <w:rFonts w:hint="eastAsia" w:ascii="仿宋" w:hAnsi="仿宋" w:eastAsia="仿宋" w:cs="仿宋"/>
                <w:kern w:val="0"/>
                <w:sz w:val="24"/>
              </w:rPr>
              <w:t>分</w:t>
            </w:r>
          </w:p>
        </w:tc>
        <w:tc>
          <w:tcPr>
            <w:tcW w:w="6133" w:type="dxa"/>
            <w:vAlign w:val="center"/>
          </w:tcPr>
          <w:p>
            <w:pPr>
              <w:spacing w:line="340" w:lineRule="exact"/>
              <w:jc w:val="left"/>
              <w:outlineLvl w:val="0"/>
              <w:rPr>
                <w:rFonts w:ascii="仿宋" w:hAnsi="仿宋" w:eastAsia="仿宋" w:cs="仿宋_GB2312"/>
                <w:sz w:val="24"/>
              </w:rPr>
            </w:pPr>
            <w:r>
              <w:rPr>
                <w:rFonts w:hint="eastAsia" w:ascii="仿宋" w:hAnsi="仿宋" w:eastAsia="仿宋" w:cs="仿宋_GB2312"/>
                <w:sz w:val="24"/>
              </w:rPr>
              <w:t>服务响应能力（0-5分）：</w:t>
            </w:r>
          </w:p>
          <w:p>
            <w:pPr>
              <w:spacing w:line="340" w:lineRule="exact"/>
              <w:jc w:val="left"/>
              <w:outlineLvl w:val="0"/>
              <w:rPr>
                <w:rFonts w:ascii="仿宋" w:hAnsi="仿宋" w:eastAsia="仿宋" w:cs="仿宋_GB2312"/>
                <w:sz w:val="24"/>
              </w:rPr>
            </w:pPr>
            <w:r>
              <w:rPr>
                <w:rFonts w:hint="eastAsia" w:ascii="仿宋" w:hAnsi="仿宋" w:eastAsia="仿宋" w:cs="仿宋_GB2312"/>
                <w:sz w:val="24"/>
              </w:rPr>
              <w:t>根据投标人是否能够提供完善、快速的服务，是否满足项目整体服务需求，实现“全方位、高品质、快速反应”的服务标准等情况进行综合比较打分。服务完善、快速且满足项目整体服务要求的得3.1-5分；服务较为完善、按时响应，基本满足项目整体服务要求的得1.1-3分；服务不完善、响应慢或无法满足项目整体服务要求的得0-1分。</w:t>
            </w:r>
          </w:p>
        </w:tc>
      </w:tr>
    </w:tbl>
    <w:p>
      <w:pPr>
        <w:ind w:firstLine="482" w:firstLineChars="200"/>
        <w:jc w:val="left"/>
        <w:rPr>
          <w:rFonts w:ascii="仿宋" w:hAnsi="仿宋" w:eastAsia="仿宋"/>
          <w:b/>
          <w:sz w:val="24"/>
        </w:rPr>
      </w:pPr>
      <w:r>
        <w:rPr>
          <w:rFonts w:hint="eastAsia" w:ascii="仿宋" w:hAnsi="仿宋" w:eastAsia="仿宋"/>
          <w:b/>
          <w:sz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rPr>
      </w:pPr>
      <w:r>
        <w:rPr>
          <w:rFonts w:hint="eastAsia" w:ascii="仿宋" w:hAnsi="仿宋" w:eastAsia="仿宋"/>
          <w:b/>
          <w:sz w:val="24"/>
        </w:rPr>
        <w:t>五、履约保证金</w:t>
      </w:r>
    </w:p>
    <w:p>
      <w:pPr>
        <w:ind w:firstLine="480" w:firstLineChars="200"/>
        <w:contextualSpacing/>
        <w:jc w:val="left"/>
        <w:rPr>
          <w:rFonts w:ascii="仿宋" w:hAnsi="仿宋" w:eastAsia="仿宋"/>
          <w:strike/>
          <w:sz w:val="24"/>
          <w:highlight w:val="none"/>
        </w:rPr>
      </w:pPr>
      <w:r>
        <w:rPr>
          <w:rFonts w:hint="eastAsia" w:ascii="仿宋" w:hAnsi="仿宋" w:eastAsia="仿宋"/>
          <w:sz w:val="24"/>
          <w:highlight w:val="none"/>
        </w:rPr>
        <w:t>本项目</w:t>
      </w:r>
      <w:r>
        <w:rPr>
          <w:rFonts w:hint="eastAsia" w:ascii="仿宋" w:hAnsi="仿宋" w:eastAsia="仿宋"/>
          <w:sz w:val="24"/>
          <w:highlight w:val="none"/>
          <w:lang w:eastAsia="zh-CN"/>
        </w:rPr>
        <w:t>不收取</w:t>
      </w:r>
      <w:r>
        <w:rPr>
          <w:rFonts w:hint="eastAsia" w:ascii="仿宋" w:hAnsi="仿宋" w:eastAsia="仿宋"/>
          <w:sz w:val="24"/>
          <w:highlight w:val="none"/>
        </w:rPr>
        <w:t>履约保证金。</w:t>
      </w:r>
    </w:p>
    <w:p>
      <w:pPr>
        <w:ind w:firstLine="472" w:firstLineChars="196"/>
        <w:jc w:val="left"/>
        <w:rPr>
          <w:rFonts w:ascii="仿宋" w:hAnsi="仿宋" w:eastAsia="仿宋"/>
          <w:b/>
          <w:sz w:val="24"/>
        </w:rPr>
      </w:pPr>
      <w:r>
        <w:rPr>
          <w:rFonts w:hint="eastAsia" w:ascii="仿宋" w:hAnsi="仿宋" w:eastAsia="仿宋"/>
          <w:b/>
          <w:sz w:val="24"/>
        </w:rPr>
        <w:t>六、付款方式</w:t>
      </w:r>
    </w:p>
    <w:p>
      <w:pPr>
        <w:ind w:firstLine="470" w:firstLineChars="196"/>
        <w:jc w:val="left"/>
        <w:rPr>
          <w:rFonts w:ascii="仿宋" w:hAnsi="仿宋" w:eastAsia="仿宋"/>
          <w:bCs/>
          <w:color w:val="auto"/>
          <w:sz w:val="24"/>
        </w:rPr>
      </w:pPr>
      <w:r>
        <w:rPr>
          <w:rFonts w:hint="eastAsia" w:ascii="仿宋" w:hAnsi="仿宋" w:eastAsia="仿宋"/>
          <w:bCs/>
          <w:color w:val="auto"/>
          <w:sz w:val="24"/>
        </w:rPr>
        <w:t>采购人在项目进行5日后及项目进行10日后检查项目进展情况，项目进展顺利符合合同规定及</w:t>
      </w:r>
      <w:r>
        <w:rPr>
          <w:rFonts w:hint="eastAsia" w:ascii="仿宋" w:hAnsi="仿宋" w:eastAsia="仿宋"/>
          <w:bCs/>
          <w:color w:val="auto"/>
          <w:sz w:val="24"/>
          <w:lang w:eastAsia="zh-CN"/>
        </w:rPr>
        <w:t>中</w:t>
      </w:r>
      <w:r>
        <w:rPr>
          <w:rFonts w:hint="eastAsia" w:ascii="仿宋" w:hAnsi="仿宋" w:eastAsia="仿宋"/>
          <w:bCs/>
          <w:color w:val="auto"/>
          <w:sz w:val="24"/>
        </w:rPr>
        <w:t>标人承诺进度，则支付70%合同款项；项目进度达不到合同规定或项目进度达不到</w:t>
      </w:r>
      <w:r>
        <w:rPr>
          <w:rFonts w:hint="eastAsia" w:ascii="仿宋" w:hAnsi="仿宋" w:eastAsia="仿宋"/>
          <w:bCs/>
          <w:color w:val="auto"/>
          <w:sz w:val="24"/>
          <w:lang w:eastAsia="zh-CN"/>
        </w:rPr>
        <w:t>中</w:t>
      </w:r>
      <w:r>
        <w:rPr>
          <w:rFonts w:hint="eastAsia" w:ascii="仿宋" w:hAnsi="仿宋" w:eastAsia="仿宋"/>
          <w:bCs/>
          <w:color w:val="auto"/>
          <w:sz w:val="24"/>
        </w:rPr>
        <w:t>标人承诺进度或项目建设质量存在较大问题，则终止合同。尾款支付须满足两个条件：一、项目HK23286经费全部到账。二、验收合格并试用一个月后，在满足付款条件的前提下一次性支付其余30%合同款项。</w:t>
      </w:r>
    </w:p>
    <w:p>
      <w:pPr>
        <w:ind w:firstLine="472" w:firstLineChars="196"/>
        <w:jc w:val="left"/>
        <w:rPr>
          <w:rFonts w:ascii="仿宋" w:hAnsi="仿宋" w:eastAsia="仿宋"/>
          <w:b/>
          <w:sz w:val="24"/>
        </w:rPr>
      </w:pPr>
      <w:r>
        <w:rPr>
          <w:rFonts w:hint="eastAsia" w:ascii="仿宋" w:hAnsi="仿宋" w:eastAsia="仿宋"/>
          <w:b/>
          <w:sz w:val="24"/>
        </w:rPr>
        <w:t>七、其他事项</w:t>
      </w:r>
    </w:p>
    <w:p>
      <w:pPr>
        <w:ind w:firstLine="480" w:firstLineChars="200"/>
        <w:jc w:val="left"/>
        <w:rPr>
          <w:rFonts w:ascii="仿宋" w:hAnsi="仿宋" w:eastAsia="仿宋"/>
          <w:sz w:val="24"/>
          <w:highlight w:val="none"/>
        </w:rPr>
      </w:pPr>
      <w:r>
        <w:rPr>
          <w:rFonts w:hint="eastAsia" w:ascii="仿宋" w:hAnsi="仿宋" w:eastAsia="仿宋"/>
          <w:sz w:val="24"/>
          <w:highlight w:val="none"/>
        </w:rPr>
        <w:t>1.完成时间及注意事项：合同签订后</w:t>
      </w:r>
      <w:r>
        <w:rPr>
          <w:rFonts w:ascii="仿宋" w:hAnsi="仿宋" w:eastAsia="仿宋"/>
          <w:sz w:val="24"/>
          <w:highlight w:val="none"/>
        </w:rPr>
        <w:t>5</w:t>
      </w:r>
      <w:r>
        <w:rPr>
          <w:rFonts w:hint="eastAsia" w:ascii="仿宋" w:hAnsi="仿宋" w:eastAsia="仿宋"/>
          <w:sz w:val="24"/>
          <w:highlight w:val="none"/>
        </w:rPr>
        <w:t>日内完成数据采集</w:t>
      </w:r>
      <w:r>
        <w:rPr>
          <w:rFonts w:hint="eastAsia" w:ascii="仿宋" w:hAnsi="仿宋" w:eastAsia="仿宋"/>
          <w:sz w:val="24"/>
          <w:highlight w:val="none"/>
          <w:lang w:eastAsia="zh-CN"/>
        </w:rPr>
        <w:t>、</w:t>
      </w:r>
      <w:r>
        <w:rPr>
          <w:rFonts w:hint="eastAsia" w:ascii="仿宋" w:hAnsi="仿宋" w:eastAsia="仿宋"/>
          <w:sz w:val="24"/>
          <w:highlight w:val="none"/>
        </w:rPr>
        <w:t>归档及数据库建库，</w:t>
      </w:r>
      <w:r>
        <w:rPr>
          <w:rFonts w:ascii="仿宋" w:hAnsi="仿宋" w:eastAsia="仿宋"/>
          <w:sz w:val="24"/>
          <w:highlight w:val="none"/>
        </w:rPr>
        <w:t>10</w:t>
      </w:r>
      <w:r>
        <w:rPr>
          <w:rFonts w:hint="eastAsia" w:ascii="仿宋" w:hAnsi="仿宋" w:eastAsia="仿宋"/>
          <w:sz w:val="24"/>
          <w:highlight w:val="none"/>
        </w:rPr>
        <w:t>日内完成驾驶舱建设，</w:t>
      </w:r>
      <w:r>
        <w:rPr>
          <w:rFonts w:ascii="仿宋" w:hAnsi="仿宋" w:eastAsia="仿宋"/>
          <w:sz w:val="24"/>
          <w:highlight w:val="none"/>
        </w:rPr>
        <w:t>15</w:t>
      </w:r>
      <w:r>
        <w:rPr>
          <w:rFonts w:hint="eastAsia" w:ascii="仿宋" w:hAnsi="仿宋" w:eastAsia="仿宋"/>
          <w:sz w:val="24"/>
          <w:highlight w:val="none"/>
        </w:rPr>
        <w:t>日内完成数据库查询系统及数据存储计算平台建设，合同签订后</w:t>
      </w:r>
      <w:r>
        <w:rPr>
          <w:rFonts w:ascii="仿宋" w:hAnsi="仿宋" w:eastAsia="仿宋"/>
          <w:sz w:val="24"/>
          <w:highlight w:val="none"/>
        </w:rPr>
        <w:t>15</w:t>
      </w:r>
      <w:r>
        <w:rPr>
          <w:rFonts w:hint="eastAsia" w:ascii="仿宋" w:hAnsi="仿宋" w:eastAsia="仿宋"/>
          <w:sz w:val="24"/>
          <w:highlight w:val="none"/>
        </w:rPr>
        <w:t>日内完成全部系统运行及调试。如未按照上述时间准时完成系统开发，需赔付甲方合同金额1</w:t>
      </w:r>
      <w:r>
        <w:rPr>
          <w:rFonts w:ascii="仿宋" w:hAnsi="仿宋" w:eastAsia="仿宋"/>
          <w:sz w:val="24"/>
          <w:highlight w:val="none"/>
        </w:rPr>
        <w:t>5%</w:t>
      </w:r>
      <w:r>
        <w:rPr>
          <w:rFonts w:hint="eastAsia" w:ascii="仿宋" w:hAnsi="仿宋" w:eastAsia="仿宋"/>
          <w:sz w:val="24"/>
          <w:highlight w:val="none"/>
        </w:rPr>
        <w:t>的违约金。</w:t>
      </w:r>
    </w:p>
    <w:p>
      <w:pPr>
        <w:ind w:firstLine="480" w:firstLineChars="200"/>
        <w:jc w:val="left"/>
        <w:rPr>
          <w:rFonts w:ascii="仿宋" w:hAnsi="仿宋" w:eastAsia="仿宋"/>
          <w:sz w:val="24"/>
        </w:rPr>
      </w:pPr>
      <w:r>
        <w:rPr>
          <w:rFonts w:hint="eastAsia" w:ascii="仿宋" w:hAnsi="仿宋" w:eastAsia="仿宋"/>
          <w:sz w:val="24"/>
        </w:rPr>
        <w:t>2.运维期：1年，自验收合格之日起计算。</w:t>
      </w:r>
    </w:p>
    <w:p>
      <w:pPr>
        <w:ind w:firstLine="480" w:firstLineChars="200"/>
        <w:jc w:val="left"/>
        <w:rPr>
          <w:rFonts w:ascii="仿宋" w:hAnsi="仿宋" w:eastAsia="仿宋"/>
          <w:sz w:val="24"/>
        </w:rPr>
      </w:pPr>
      <w:r>
        <w:rPr>
          <w:rFonts w:hint="eastAsia" w:ascii="仿宋" w:hAnsi="仿宋" w:eastAsia="仿宋"/>
          <w:sz w:val="24"/>
        </w:rPr>
        <w:t>3.服务响应时间：接到采购人报修通知后，48小时内提供现场服务。</w:t>
      </w:r>
    </w:p>
    <w:p>
      <w:pPr>
        <w:ind w:firstLine="482" w:firstLineChars="200"/>
        <w:rPr>
          <w:rFonts w:ascii="仿宋" w:hAnsi="仿宋" w:eastAsia="仿宋"/>
          <w:b/>
          <w:color w:val="000000"/>
          <w:sz w:val="24"/>
        </w:rPr>
      </w:pPr>
      <w:r>
        <w:rPr>
          <w:rFonts w:hint="eastAsia" w:ascii="仿宋" w:hAnsi="仿宋" w:eastAsia="仿宋"/>
          <w:b/>
          <w:color w:val="000000"/>
          <w:sz w:val="24"/>
        </w:rPr>
        <w:t>八、售后服务及其他事项</w:t>
      </w:r>
    </w:p>
    <w:p>
      <w:pPr>
        <w:ind w:firstLine="480" w:firstLineChars="200"/>
        <w:contextualSpacing/>
        <w:jc w:val="left"/>
        <w:rPr>
          <w:rFonts w:ascii="仿宋" w:hAnsi="仿宋" w:eastAsia="仿宋"/>
          <w:sz w:val="24"/>
        </w:rPr>
      </w:pPr>
      <w:r>
        <w:rPr>
          <w:rFonts w:hint="eastAsia" w:ascii="仿宋" w:hAnsi="仿宋" w:eastAsia="仿宋"/>
          <w:sz w:val="24"/>
        </w:rPr>
        <w:t>1.要求提供7*24H电话咨询服务，中标人在接到采购单位通知后在48小时内到达现场，并于2日内完成故障排除。</w:t>
      </w:r>
    </w:p>
    <w:p>
      <w:pPr>
        <w:ind w:firstLine="480" w:firstLineChars="200"/>
        <w:contextualSpacing/>
        <w:jc w:val="left"/>
        <w:rPr>
          <w:rFonts w:ascii="仿宋" w:hAnsi="仿宋" w:eastAsia="仿宋"/>
          <w:sz w:val="24"/>
        </w:rPr>
      </w:pPr>
      <w:r>
        <w:rPr>
          <w:rFonts w:hint="eastAsia" w:ascii="仿宋" w:hAnsi="仿宋" w:eastAsia="仿宋"/>
          <w:sz w:val="24"/>
        </w:rPr>
        <w:t>2.中标人应根据采购人要求,派专业技术人员前往采购人单位免费为采购人指导安装并培训操作人员。</w:t>
      </w:r>
    </w:p>
    <w:p>
      <w:pPr>
        <w:ind w:firstLine="480" w:firstLineChars="200"/>
        <w:contextualSpacing/>
        <w:jc w:val="left"/>
        <w:rPr>
          <w:rFonts w:ascii="仿宋" w:hAnsi="仿宋" w:eastAsia="仿宋"/>
          <w:sz w:val="24"/>
        </w:rPr>
      </w:pPr>
      <w:r>
        <w:rPr>
          <w:rFonts w:hint="eastAsia" w:ascii="仿宋" w:hAnsi="仿宋" w:eastAsia="仿宋"/>
          <w:sz w:val="24"/>
        </w:rPr>
        <w:t>3.保证保修的及时性，在收到采购方的通知后，中标单位应及时派人到达现场进行维修或者更换。</w:t>
      </w:r>
    </w:p>
    <w:p>
      <w:pPr>
        <w:ind w:firstLine="480" w:firstLineChars="200"/>
        <w:contextualSpacing/>
        <w:jc w:val="left"/>
        <w:rPr>
          <w:rFonts w:ascii="仿宋" w:hAnsi="仿宋" w:eastAsia="仿宋"/>
          <w:sz w:val="24"/>
          <w:highlight w:val="none"/>
        </w:rPr>
      </w:pPr>
      <w:r>
        <w:rPr>
          <w:rFonts w:hint="eastAsia" w:ascii="仿宋" w:hAnsi="仿宋" w:eastAsia="仿宋"/>
          <w:sz w:val="24"/>
          <w:highlight w:val="none"/>
        </w:rPr>
        <w:t>湖州师范学院生命科学学院。联系人：赵老师；联系电话：</w:t>
      </w:r>
      <w:r>
        <w:rPr>
          <w:rFonts w:hint="eastAsia" w:ascii="仿宋" w:hAnsi="仿宋" w:eastAsia="仿宋" w:cs="仿宋"/>
          <w:color w:val="000000"/>
          <w:kern w:val="21"/>
          <w:sz w:val="24"/>
          <w:highlight w:val="none"/>
        </w:rPr>
        <w:t>13819222804</w:t>
      </w:r>
      <w:r>
        <w:rPr>
          <w:rFonts w:hint="eastAsia" w:ascii="仿宋" w:hAnsi="仿宋" w:eastAsia="仿宋"/>
          <w:sz w:val="24"/>
          <w:highlight w:val="none"/>
        </w:rPr>
        <w:t>。</w:t>
      </w:r>
    </w:p>
    <w:p>
      <w:pPr>
        <w:ind w:left="479" w:leftChars="228"/>
        <w:rPr>
          <w:rFonts w:ascii="仿宋" w:hAnsi="仿宋" w:eastAsia="仿宋"/>
          <w:b/>
          <w:color w:val="000000"/>
          <w:sz w:val="24"/>
        </w:rPr>
      </w:pPr>
    </w:p>
    <w:p>
      <w:pPr>
        <w:ind w:left="479" w:leftChars="228"/>
        <w:rPr>
          <w:rFonts w:ascii="仿宋" w:hAnsi="仿宋" w:eastAsia="仿宋"/>
          <w:b/>
          <w:color w:val="000000"/>
          <w:sz w:val="24"/>
        </w:rPr>
      </w:pPr>
      <w:r>
        <w:rPr>
          <w:rFonts w:hint="eastAsia" w:ascii="仿宋" w:hAnsi="仿宋" w:eastAsia="仿宋"/>
          <w:b/>
          <w:color w:val="000000"/>
          <w:sz w:val="24"/>
        </w:rPr>
        <w:t>附件1：</w:t>
      </w:r>
      <w:bookmarkStart w:id="2" w:name="OLE_LINK8"/>
      <w:r>
        <w:rPr>
          <w:rFonts w:hint="eastAsia" w:ascii="仿宋" w:hAnsi="仿宋" w:eastAsia="仿宋"/>
          <w:b/>
          <w:color w:val="000000"/>
          <w:sz w:val="24"/>
        </w:rPr>
        <w:t>《湖州师范学院2023年自然保护区地理信息系统建设投标报价单》</w:t>
      </w:r>
      <w:bookmarkEnd w:id="2"/>
      <w:r>
        <w:rPr>
          <w:rFonts w:hint="eastAsia" w:ascii="仿宋" w:hAnsi="仿宋" w:eastAsia="仿宋"/>
          <w:b/>
          <w:color w:val="000000"/>
          <w:sz w:val="24"/>
        </w:rPr>
        <w:t>。</w:t>
      </w:r>
    </w:p>
    <w:p>
      <w:pPr>
        <w:ind w:right="480"/>
        <w:rPr>
          <w:rFonts w:ascii="仿宋" w:hAnsi="仿宋" w:eastAsia="仿宋"/>
          <w:b/>
          <w:color w:val="000000"/>
          <w:sz w:val="24"/>
        </w:rPr>
      </w:pPr>
    </w:p>
    <w:p>
      <w:pPr>
        <w:ind w:right="480" w:firstLine="4698" w:firstLineChars="1950"/>
        <w:jc w:val="right"/>
        <w:rPr>
          <w:rFonts w:ascii="仿宋" w:hAnsi="仿宋" w:eastAsia="仿宋"/>
          <w:b/>
          <w:color w:val="000000"/>
          <w:sz w:val="24"/>
        </w:rPr>
      </w:pPr>
      <w:r>
        <w:rPr>
          <w:rFonts w:hint="eastAsia" w:ascii="仿宋" w:hAnsi="仿宋" w:eastAsia="仿宋"/>
          <w:b/>
          <w:color w:val="000000"/>
          <w:sz w:val="24"/>
        </w:rPr>
        <w:t>湖州师范学院采购中心</w:t>
      </w:r>
    </w:p>
    <w:p>
      <w:pPr>
        <w:ind w:right="480" w:firstLine="5180" w:firstLineChars="2150"/>
        <w:jc w:val="right"/>
        <w:rPr>
          <w:rFonts w:ascii="黑体" w:hAnsi="黑体" w:eastAsia="黑体" w:cs="宋体"/>
          <w:color w:val="000000"/>
          <w:sz w:val="24"/>
          <w:highlight w:val="none"/>
        </w:rPr>
      </w:pPr>
      <w:r>
        <w:rPr>
          <w:rFonts w:hint="eastAsia" w:ascii="仿宋" w:hAnsi="仿宋" w:eastAsia="仿宋"/>
          <w:b/>
          <w:color w:val="000000"/>
          <w:sz w:val="24"/>
          <w:highlight w:val="none"/>
        </w:rPr>
        <w:t>202</w:t>
      </w:r>
      <w:r>
        <w:rPr>
          <w:rFonts w:hint="eastAsia" w:ascii="仿宋" w:hAnsi="仿宋" w:eastAsia="仿宋"/>
          <w:b/>
          <w:color w:val="000000"/>
          <w:sz w:val="24"/>
          <w:highlight w:val="none"/>
          <w:lang w:val="en-US" w:eastAsia="zh-CN"/>
        </w:rPr>
        <w:t>3</w:t>
      </w:r>
      <w:r>
        <w:rPr>
          <w:rFonts w:hint="eastAsia" w:ascii="仿宋" w:hAnsi="仿宋" w:eastAsia="仿宋"/>
          <w:b/>
          <w:color w:val="000000"/>
          <w:sz w:val="24"/>
          <w:highlight w:val="none"/>
        </w:rPr>
        <w:t>年</w:t>
      </w:r>
      <w:r>
        <w:rPr>
          <w:rFonts w:hint="eastAsia" w:ascii="仿宋" w:hAnsi="仿宋" w:eastAsia="仿宋"/>
          <w:b/>
          <w:color w:val="000000"/>
          <w:sz w:val="24"/>
          <w:highlight w:val="none"/>
          <w:lang w:val="en-US" w:eastAsia="zh-CN"/>
        </w:rPr>
        <w:t>3</w:t>
      </w:r>
      <w:r>
        <w:rPr>
          <w:rFonts w:hint="eastAsia" w:ascii="仿宋" w:hAnsi="仿宋" w:eastAsia="仿宋"/>
          <w:b/>
          <w:color w:val="000000"/>
          <w:sz w:val="24"/>
          <w:highlight w:val="none"/>
        </w:rPr>
        <w:t>月</w:t>
      </w:r>
      <w:r>
        <w:rPr>
          <w:rFonts w:hint="eastAsia" w:ascii="仿宋" w:hAnsi="仿宋" w:eastAsia="仿宋"/>
          <w:b/>
          <w:color w:val="000000"/>
          <w:sz w:val="24"/>
          <w:highlight w:val="none"/>
          <w:lang w:val="en-US" w:eastAsia="zh-CN"/>
        </w:rPr>
        <w:t>13</w:t>
      </w:r>
      <w:r>
        <w:rPr>
          <w:rFonts w:hint="eastAsia" w:ascii="仿宋" w:hAnsi="仿宋" w:eastAsia="仿宋"/>
          <w:b/>
          <w:color w:val="000000"/>
          <w:sz w:val="24"/>
          <w:highlight w:val="none"/>
        </w:rPr>
        <w:t>日</w:t>
      </w:r>
    </w:p>
    <w:p/>
    <w:p>
      <w:pPr>
        <w:rPr>
          <w:rFonts w:ascii="黑体" w:hAnsi="黑体" w:eastAsia="黑体" w:cs="宋体"/>
          <w:color w:val="000000"/>
          <w:sz w:val="24"/>
        </w:rPr>
      </w:pPr>
    </w:p>
    <w:p>
      <w:pPr>
        <w:rPr>
          <w:rFonts w:ascii="黑体" w:hAnsi="黑体" w:eastAsia="黑体" w:cs="宋体"/>
          <w:color w:val="000000"/>
          <w:sz w:val="24"/>
        </w:rPr>
      </w:pPr>
    </w:p>
    <w:p>
      <w:pPr>
        <w:rPr>
          <w:rFonts w:ascii="黑体" w:hAnsi="黑体" w:eastAsia="黑体" w:cs="宋体"/>
          <w:color w:val="000000"/>
          <w:sz w:val="24"/>
        </w:rPr>
      </w:pPr>
    </w:p>
    <w:p>
      <w:pPr>
        <w:rPr>
          <w:rFonts w:ascii="黑体" w:hAnsi="黑体" w:eastAsia="黑体" w:cs="宋体"/>
          <w:color w:val="000000"/>
          <w:sz w:val="24"/>
        </w:rPr>
      </w:pPr>
    </w:p>
    <w:p>
      <w:pPr>
        <w:jc w:val="left"/>
        <w:rPr>
          <w:rFonts w:ascii="黑体" w:hAnsi="黑体" w:eastAsia="黑体" w:cs="宋体"/>
          <w:color w:val="000000"/>
          <w:sz w:val="24"/>
        </w:rPr>
      </w:pPr>
      <w:r>
        <w:rPr>
          <w:rFonts w:hint="eastAsia" w:ascii="黑体" w:hAnsi="黑体" w:eastAsia="黑体" w:cs="宋体"/>
          <w:color w:val="000000"/>
          <w:sz w:val="24"/>
        </w:rPr>
        <w:t>附件1：</w:t>
      </w:r>
    </w:p>
    <w:p>
      <w:pPr>
        <w:jc w:val="center"/>
        <w:rPr>
          <w:rFonts w:ascii="仿宋" w:hAnsi="仿宋" w:eastAsia="仿宋" w:cs="宋体"/>
          <w:b/>
          <w:bCs/>
          <w:color w:val="000000"/>
          <w:kern w:val="0"/>
          <w:sz w:val="32"/>
          <w:szCs w:val="32"/>
        </w:rPr>
      </w:pPr>
      <w:bookmarkStart w:id="3" w:name="_Hlk128332232"/>
      <w:r>
        <w:rPr>
          <w:rFonts w:hint="eastAsia" w:ascii="仿宋" w:hAnsi="仿宋" w:eastAsia="仿宋" w:cs="宋体"/>
          <w:b/>
          <w:bCs/>
          <w:color w:val="000000"/>
          <w:kern w:val="0"/>
          <w:sz w:val="32"/>
          <w:szCs w:val="32"/>
        </w:rPr>
        <w:t>湖州师范学院202</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年自然保护区地理信息系统建设</w:t>
      </w:r>
    </w:p>
    <w:bookmarkEnd w:id="3"/>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投标报价单</w:t>
      </w:r>
    </w:p>
    <w:tbl>
      <w:tblPr>
        <w:tblStyle w:val="16"/>
        <w:tblW w:w="7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772"/>
        <w:gridCol w:w="1406"/>
        <w:gridCol w:w="1"/>
        <w:gridCol w:w="815"/>
        <w:gridCol w:w="704"/>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pStyle w:val="20"/>
              <w:tabs>
                <w:tab w:val="left" w:pos="720"/>
                <w:tab w:val="left" w:pos="5082"/>
                <w:tab w:val="center" w:pos="6480"/>
                <w:tab w:val="right" w:pos="8100"/>
              </w:tabs>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2772" w:type="dxa"/>
            <w:vAlign w:val="center"/>
          </w:tcPr>
          <w:p>
            <w:pPr>
              <w:pStyle w:val="20"/>
              <w:tabs>
                <w:tab w:val="left" w:pos="720"/>
                <w:tab w:val="left" w:pos="5082"/>
                <w:tab w:val="center" w:pos="6480"/>
                <w:tab w:val="right" w:pos="8100"/>
              </w:tabs>
              <w:jc w:val="center"/>
              <w:rPr>
                <w:rFonts w:ascii="仿宋" w:hAnsi="仿宋" w:eastAsia="仿宋" w:cs="仿宋"/>
                <w:b/>
                <w:bCs/>
                <w:color w:val="0000FF"/>
                <w:sz w:val="24"/>
              </w:rPr>
            </w:pPr>
            <w:r>
              <w:rPr>
                <w:rFonts w:hint="eastAsia" w:ascii="仿宋" w:hAnsi="仿宋" w:eastAsia="仿宋" w:cs="仿宋"/>
                <w:b/>
                <w:bCs/>
                <w:color w:val="0000FF"/>
                <w:sz w:val="24"/>
              </w:rPr>
              <w:t>系统名称</w:t>
            </w:r>
          </w:p>
        </w:tc>
        <w:tc>
          <w:tcPr>
            <w:tcW w:w="1407" w:type="dxa"/>
            <w:gridSpan w:val="2"/>
            <w:vAlign w:val="center"/>
          </w:tcPr>
          <w:p>
            <w:pPr>
              <w:pStyle w:val="20"/>
              <w:tabs>
                <w:tab w:val="left" w:pos="720"/>
                <w:tab w:val="left" w:pos="5082"/>
                <w:tab w:val="center" w:pos="6480"/>
                <w:tab w:val="right" w:pos="8100"/>
              </w:tabs>
              <w:jc w:val="center"/>
              <w:rPr>
                <w:rFonts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rPr>
              <w:t>数量</w:t>
            </w:r>
          </w:p>
        </w:tc>
        <w:tc>
          <w:tcPr>
            <w:tcW w:w="815" w:type="dxa"/>
            <w:vAlign w:val="center"/>
          </w:tcPr>
          <w:p>
            <w:pPr>
              <w:pStyle w:val="20"/>
              <w:tabs>
                <w:tab w:val="left" w:pos="720"/>
                <w:tab w:val="left" w:pos="5082"/>
                <w:tab w:val="center" w:pos="6480"/>
                <w:tab w:val="right" w:pos="8100"/>
              </w:tabs>
              <w:jc w:val="center"/>
              <w:rPr>
                <w:rFonts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rPr>
              <w:t>单位</w:t>
            </w:r>
          </w:p>
        </w:tc>
        <w:tc>
          <w:tcPr>
            <w:tcW w:w="704" w:type="dxa"/>
            <w:vAlign w:val="center"/>
          </w:tcPr>
          <w:p>
            <w:pPr>
              <w:pStyle w:val="20"/>
              <w:tabs>
                <w:tab w:val="left" w:pos="720"/>
                <w:tab w:val="left" w:pos="5082"/>
                <w:tab w:val="center" w:pos="6480"/>
                <w:tab w:val="right" w:pos="8100"/>
              </w:tabs>
              <w:jc w:val="center"/>
              <w:rPr>
                <w:rFonts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rPr>
              <w:t>单价（元）</w:t>
            </w:r>
          </w:p>
        </w:tc>
        <w:tc>
          <w:tcPr>
            <w:tcW w:w="1233" w:type="dxa"/>
            <w:vAlign w:val="center"/>
          </w:tcPr>
          <w:p>
            <w:pPr>
              <w:pStyle w:val="20"/>
              <w:tabs>
                <w:tab w:val="left" w:pos="720"/>
                <w:tab w:val="left" w:pos="5082"/>
                <w:tab w:val="center" w:pos="6480"/>
                <w:tab w:val="right" w:pos="8100"/>
              </w:tabs>
              <w:jc w:val="center"/>
              <w:rPr>
                <w:rFonts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5" w:type="dxa"/>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2772" w:type="dxa"/>
            <w:vAlign w:val="center"/>
          </w:tcPr>
          <w:p>
            <w:pPr>
              <w:jc w:val="left"/>
              <w:rPr>
                <w:rFonts w:ascii="仿宋" w:hAnsi="仿宋" w:eastAsia="仿宋" w:cs="仿宋"/>
                <w:color w:val="0000FF"/>
                <w:sz w:val="24"/>
              </w:rPr>
            </w:pPr>
            <w:r>
              <w:rPr>
                <w:rFonts w:hint="eastAsia" w:ascii="仿宋" w:hAnsi="仿宋" w:eastAsia="仿宋" w:cs="仿宋"/>
                <w:color w:val="000000"/>
                <w:kern w:val="21"/>
                <w:sz w:val="24"/>
              </w:rPr>
              <w:t>湖州师范学院2023年自然保护区地理信息系统建设</w:t>
            </w:r>
          </w:p>
        </w:tc>
        <w:tc>
          <w:tcPr>
            <w:tcW w:w="1407" w:type="dxa"/>
            <w:gridSpan w:val="2"/>
            <w:vAlign w:val="center"/>
          </w:tcPr>
          <w:p>
            <w:pPr>
              <w:jc w:val="center"/>
              <w:rPr>
                <w:rFonts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1</w:t>
            </w:r>
          </w:p>
        </w:tc>
        <w:tc>
          <w:tcPr>
            <w:tcW w:w="815" w:type="dxa"/>
            <w:vAlign w:val="center"/>
          </w:tcPr>
          <w:p>
            <w:pPr>
              <w:jc w:val="center"/>
              <w:rPr>
                <w:rFonts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套</w:t>
            </w:r>
          </w:p>
        </w:tc>
        <w:tc>
          <w:tcPr>
            <w:tcW w:w="704" w:type="dxa"/>
            <w:vAlign w:val="center"/>
          </w:tcPr>
          <w:p>
            <w:pPr>
              <w:jc w:val="center"/>
              <w:rPr>
                <w:rFonts w:ascii="仿宋" w:hAnsi="仿宋" w:eastAsia="仿宋" w:cs="仿宋"/>
                <w:b/>
                <w:bCs/>
                <w:color w:val="0000FF"/>
                <w:kern w:val="2"/>
                <w:sz w:val="24"/>
                <w:szCs w:val="24"/>
                <w:lang w:val="en-US" w:eastAsia="zh-CN" w:bidi="ar-SA"/>
              </w:rPr>
            </w:pPr>
          </w:p>
        </w:tc>
        <w:tc>
          <w:tcPr>
            <w:tcW w:w="1233" w:type="dxa"/>
            <w:vAlign w:val="center"/>
          </w:tcPr>
          <w:p>
            <w:pPr>
              <w:jc w:val="center"/>
              <w:rPr>
                <w:rFonts w:ascii="仿宋" w:hAnsi="仿宋" w:eastAsia="仿宋" w:cs="仿宋"/>
                <w:b/>
                <w:bCs/>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7" w:hRule="atLeast"/>
          <w:jc w:val="center"/>
        </w:trPr>
        <w:tc>
          <w:tcPr>
            <w:tcW w:w="4833" w:type="dxa"/>
            <w:gridSpan w:val="3"/>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合计：</w:t>
            </w:r>
          </w:p>
        </w:tc>
        <w:tc>
          <w:tcPr>
            <w:tcW w:w="2753" w:type="dxa"/>
            <w:gridSpan w:val="4"/>
            <w:vAlign w:val="center"/>
          </w:tcPr>
          <w:p>
            <w:pPr>
              <w:jc w:val="center"/>
              <w:rPr>
                <w:rFonts w:hint="eastAsia" w:ascii="仿宋" w:hAnsi="仿宋" w:eastAsia="仿宋" w:cs="仿宋"/>
                <w:bCs/>
                <w:color w:val="000000"/>
                <w:sz w:val="24"/>
              </w:rPr>
            </w:pPr>
            <w:r>
              <w:rPr>
                <w:rFonts w:hint="eastAsia" w:ascii="仿宋" w:hAnsi="仿宋" w:eastAsia="仿宋" w:cs="仿宋"/>
                <w:b/>
                <w:bCs/>
                <w:color w:val="0000FF"/>
                <w:sz w:val="24"/>
              </w:rPr>
              <w:t>人民币：</w:t>
            </w:r>
            <w:r>
              <w:rPr>
                <w:rFonts w:ascii="仿宋" w:hAnsi="仿宋" w:eastAsia="仿宋" w:cs="仿宋"/>
                <w:b/>
                <w:bCs/>
                <w:color w:val="0000FF"/>
                <w:sz w:val="24"/>
              </w:rPr>
              <w:t xml:space="preserve">       </w:t>
            </w:r>
            <w:r>
              <w:rPr>
                <w:rFonts w:hint="eastAsia" w:ascii="仿宋" w:hAnsi="仿宋" w:eastAsia="仿宋" w:cs="仿宋"/>
                <w:b/>
                <w:bCs/>
                <w:color w:val="0000FF"/>
                <w:sz w:val="24"/>
              </w:rPr>
              <w:t>（大写）</w:t>
            </w:r>
          </w:p>
        </w:tc>
      </w:tr>
    </w:tbl>
    <w:p>
      <w:pPr>
        <w:rPr>
          <w:rFonts w:ascii="仿宋" w:hAnsi="仿宋" w:eastAsia="仿宋" w:cs="仿宋"/>
          <w:b/>
          <w:color w:val="000000"/>
          <w:sz w:val="24"/>
        </w:rPr>
      </w:pPr>
    </w:p>
    <w:p>
      <w:pPr>
        <w:rPr>
          <w:rFonts w:ascii="仿宋" w:hAnsi="仿宋" w:eastAsia="仿宋" w:cs="仿宋"/>
          <w:b/>
          <w:sz w:val="24"/>
        </w:rPr>
      </w:pPr>
      <w:r>
        <w:rPr>
          <w:rFonts w:hint="eastAsia" w:ascii="仿宋" w:hAnsi="仿宋" w:eastAsia="仿宋" w:cs="仿宋"/>
          <w:b/>
          <w:color w:val="000000"/>
          <w:sz w:val="24"/>
        </w:rPr>
        <w:t>注：投标报价含税金、技术开发服务及调试费等全部费用。</w:t>
      </w:r>
      <w:bookmarkStart w:id="4" w:name="_GoBack"/>
      <w:bookmarkEnd w:id="4"/>
    </w:p>
    <w:p>
      <w:pPr>
        <w:rPr>
          <w:rFonts w:ascii="仿宋" w:hAnsi="仿宋" w:eastAsia="仿宋" w:cs="仿宋"/>
          <w:b/>
          <w:sz w:val="24"/>
        </w:rPr>
      </w:pPr>
    </w:p>
    <w:p>
      <w:pPr>
        <w:rPr>
          <w:rFonts w:ascii="仿宋" w:hAnsi="仿宋" w:eastAsia="仿宋" w:cs="仿宋"/>
          <w:b/>
          <w:color w:val="000000"/>
          <w:sz w:val="24"/>
          <w:u w:val="single"/>
        </w:rPr>
      </w:pPr>
      <w:r>
        <w:rPr>
          <w:rFonts w:hint="eastAsia" w:ascii="仿宋" w:hAnsi="仿宋" w:eastAsia="仿宋" w:cs="仿宋"/>
          <w:b/>
          <w:color w:val="000000"/>
          <w:sz w:val="24"/>
        </w:rPr>
        <w:t xml:space="preserve">                             投标代表（或法定代表人）签字：</w:t>
      </w:r>
      <w:r>
        <w:rPr>
          <w:rFonts w:hint="eastAsia" w:ascii="仿宋" w:hAnsi="仿宋" w:eastAsia="仿宋" w:cs="仿宋"/>
          <w:b/>
          <w:color w:val="000000"/>
          <w:sz w:val="24"/>
          <w:u w:val="single"/>
        </w:rPr>
        <w:t xml:space="preserve">               </w:t>
      </w:r>
    </w:p>
    <w:p>
      <w:pPr>
        <w:rPr>
          <w:rFonts w:ascii="仿宋" w:hAnsi="仿宋" w:eastAsia="仿宋" w:cs="仿宋"/>
          <w:b/>
          <w:color w:val="000000"/>
          <w:sz w:val="24"/>
          <w:u w:val="single"/>
        </w:rPr>
      </w:pPr>
      <w:r>
        <w:rPr>
          <w:rFonts w:hint="eastAsia" w:ascii="仿宋" w:hAnsi="仿宋" w:eastAsia="仿宋" w:cs="仿宋"/>
          <w:b/>
          <w:color w:val="000000"/>
          <w:sz w:val="24"/>
        </w:rPr>
        <w:t xml:space="preserve">                             投标单位名称（盖章）：</w:t>
      </w:r>
      <w:r>
        <w:rPr>
          <w:rFonts w:hint="eastAsia" w:ascii="仿宋" w:hAnsi="仿宋" w:eastAsia="仿宋" w:cs="仿宋"/>
          <w:b/>
          <w:color w:val="000000"/>
          <w:sz w:val="24"/>
          <w:u w:val="single"/>
        </w:rPr>
        <w:t xml:space="preserve">                        </w:t>
      </w:r>
    </w:p>
    <w:p>
      <w:pPr>
        <w:rPr>
          <w:rFonts w:ascii="仿宋" w:hAnsi="仿宋" w:eastAsia="仿宋" w:cs="仿宋"/>
          <w:b/>
          <w:color w:val="000000"/>
          <w:sz w:val="24"/>
          <w:u w:val="single"/>
        </w:rPr>
      </w:pPr>
      <w:r>
        <w:rPr>
          <w:rFonts w:hint="eastAsia" w:ascii="仿宋" w:hAnsi="仿宋" w:eastAsia="仿宋" w:cs="仿宋"/>
          <w:b/>
          <w:color w:val="000000"/>
          <w:sz w:val="24"/>
        </w:rPr>
        <w:t xml:space="preserve">                             投标日期：</w:t>
      </w:r>
      <w:r>
        <w:rPr>
          <w:rFonts w:hint="eastAsia" w:ascii="仿宋" w:hAnsi="仿宋" w:eastAsia="仿宋" w:cs="仿宋"/>
          <w:b/>
          <w:color w:val="000000"/>
          <w:sz w:val="24"/>
          <w:u w:val="single"/>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577C3"/>
    <w:rsid w:val="00036C57"/>
    <w:rsid w:val="000807AF"/>
    <w:rsid w:val="000B5A77"/>
    <w:rsid w:val="00122B1A"/>
    <w:rsid w:val="00184A0E"/>
    <w:rsid w:val="001850CE"/>
    <w:rsid w:val="00185293"/>
    <w:rsid w:val="001D307B"/>
    <w:rsid w:val="001D75A1"/>
    <w:rsid w:val="00217486"/>
    <w:rsid w:val="00263AF9"/>
    <w:rsid w:val="00270FDD"/>
    <w:rsid w:val="002B49F2"/>
    <w:rsid w:val="0031208C"/>
    <w:rsid w:val="00313C08"/>
    <w:rsid w:val="00334F5F"/>
    <w:rsid w:val="003B1957"/>
    <w:rsid w:val="003E726B"/>
    <w:rsid w:val="004759C0"/>
    <w:rsid w:val="00496262"/>
    <w:rsid w:val="004A11A8"/>
    <w:rsid w:val="004C72B2"/>
    <w:rsid w:val="005A701B"/>
    <w:rsid w:val="005F051B"/>
    <w:rsid w:val="006017D6"/>
    <w:rsid w:val="00606F25"/>
    <w:rsid w:val="006454ED"/>
    <w:rsid w:val="00660F59"/>
    <w:rsid w:val="006F34EB"/>
    <w:rsid w:val="00721FFF"/>
    <w:rsid w:val="00760AEF"/>
    <w:rsid w:val="00770B32"/>
    <w:rsid w:val="0079032D"/>
    <w:rsid w:val="007D0240"/>
    <w:rsid w:val="00826C28"/>
    <w:rsid w:val="00874F43"/>
    <w:rsid w:val="00884B96"/>
    <w:rsid w:val="008D5B3E"/>
    <w:rsid w:val="009040CB"/>
    <w:rsid w:val="00964A9E"/>
    <w:rsid w:val="009730CA"/>
    <w:rsid w:val="009967EA"/>
    <w:rsid w:val="009A2EA9"/>
    <w:rsid w:val="009E04DD"/>
    <w:rsid w:val="00A164D1"/>
    <w:rsid w:val="00A92680"/>
    <w:rsid w:val="00AE0C61"/>
    <w:rsid w:val="00B870F0"/>
    <w:rsid w:val="00C3088B"/>
    <w:rsid w:val="00C3310B"/>
    <w:rsid w:val="00C37751"/>
    <w:rsid w:val="00C6657B"/>
    <w:rsid w:val="00C7046E"/>
    <w:rsid w:val="00C95B66"/>
    <w:rsid w:val="00CB110C"/>
    <w:rsid w:val="00DE1ABD"/>
    <w:rsid w:val="00E577C3"/>
    <w:rsid w:val="00E81C4C"/>
    <w:rsid w:val="00E96783"/>
    <w:rsid w:val="00EE43C8"/>
    <w:rsid w:val="00EF3A52"/>
    <w:rsid w:val="00F0472E"/>
    <w:rsid w:val="00F0578F"/>
    <w:rsid w:val="00F06623"/>
    <w:rsid w:val="00F20D48"/>
    <w:rsid w:val="00F41E8C"/>
    <w:rsid w:val="00FA6E3C"/>
    <w:rsid w:val="015772A4"/>
    <w:rsid w:val="01C34939"/>
    <w:rsid w:val="042E253E"/>
    <w:rsid w:val="04AC1C8A"/>
    <w:rsid w:val="05634469"/>
    <w:rsid w:val="06787CA6"/>
    <w:rsid w:val="06F9701D"/>
    <w:rsid w:val="071023CF"/>
    <w:rsid w:val="073836D3"/>
    <w:rsid w:val="084D491C"/>
    <w:rsid w:val="0D192CC1"/>
    <w:rsid w:val="0D62529A"/>
    <w:rsid w:val="0E813BB2"/>
    <w:rsid w:val="0F600249"/>
    <w:rsid w:val="12502773"/>
    <w:rsid w:val="12FE1C75"/>
    <w:rsid w:val="136E2957"/>
    <w:rsid w:val="139B3968"/>
    <w:rsid w:val="14353475"/>
    <w:rsid w:val="14A66120"/>
    <w:rsid w:val="173D0386"/>
    <w:rsid w:val="17683267"/>
    <w:rsid w:val="17A50911"/>
    <w:rsid w:val="19A1335A"/>
    <w:rsid w:val="1B3E70B3"/>
    <w:rsid w:val="1C163B8C"/>
    <w:rsid w:val="1C9553F8"/>
    <w:rsid w:val="1CF63D55"/>
    <w:rsid w:val="1E7B23CC"/>
    <w:rsid w:val="201A79C2"/>
    <w:rsid w:val="208337BA"/>
    <w:rsid w:val="20915ED7"/>
    <w:rsid w:val="20D41ABC"/>
    <w:rsid w:val="20EB29D1"/>
    <w:rsid w:val="22342FBD"/>
    <w:rsid w:val="226513C9"/>
    <w:rsid w:val="23066BF7"/>
    <w:rsid w:val="232E76F5"/>
    <w:rsid w:val="24D93F84"/>
    <w:rsid w:val="2563280B"/>
    <w:rsid w:val="2664190B"/>
    <w:rsid w:val="26A6713C"/>
    <w:rsid w:val="28686ECD"/>
    <w:rsid w:val="28994557"/>
    <w:rsid w:val="29472C2C"/>
    <w:rsid w:val="29BD50CF"/>
    <w:rsid w:val="29F16480"/>
    <w:rsid w:val="2A1D546D"/>
    <w:rsid w:val="2C1B4F2E"/>
    <w:rsid w:val="2C2D49B1"/>
    <w:rsid w:val="2D13309D"/>
    <w:rsid w:val="2D2B320F"/>
    <w:rsid w:val="2D761437"/>
    <w:rsid w:val="2FB13652"/>
    <w:rsid w:val="30C10112"/>
    <w:rsid w:val="30EC0F07"/>
    <w:rsid w:val="312B28A2"/>
    <w:rsid w:val="31AC0802"/>
    <w:rsid w:val="33024A12"/>
    <w:rsid w:val="334F34F5"/>
    <w:rsid w:val="337A2B1E"/>
    <w:rsid w:val="340D480C"/>
    <w:rsid w:val="34621291"/>
    <w:rsid w:val="35AD6EB7"/>
    <w:rsid w:val="360D5BA8"/>
    <w:rsid w:val="36213401"/>
    <w:rsid w:val="38AC6FE9"/>
    <w:rsid w:val="3A5A5133"/>
    <w:rsid w:val="3AC155A3"/>
    <w:rsid w:val="3B2C2F74"/>
    <w:rsid w:val="3B574B06"/>
    <w:rsid w:val="3CC35212"/>
    <w:rsid w:val="3D09356D"/>
    <w:rsid w:val="3DBB413B"/>
    <w:rsid w:val="41055DF9"/>
    <w:rsid w:val="42090DDA"/>
    <w:rsid w:val="442A5B77"/>
    <w:rsid w:val="44FC7513"/>
    <w:rsid w:val="4591409C"/>
    <w:rsid w:val="46EC35B7"/>
    <w:rsid w:val="474F5173"/>
    <w:rsid w:val="47591E2C"/>
    <w:rsid w:val="484D0086"/>
    <w:rsid w:val="48B35688"/>
    <w:rsid w:val="497B1CF8"/>
    <w:rsid w:val="49B26D3A"/>
    <w:rsid w:val="4B056A04"/>
    <w:rsid w:val="4C3752D5"/>
    <w:rsid w:val="4D81666C"/>
    <w:rsid w:val="4F271630"/>
    <w:rsid w:val="529349CB"/>
    <w:rsid w:val="53432B32"/>
    <w:rsid w:val="544D6BA1"/>
    <w:rsid w:val="55930575"/>
    <w:rsid w:val="5757785B"/>
    <w:rsid w:val="584F3F39"/>
    <w:rsid w:val="5919023C"/>
    <w:rsid w:val="5B86195B"/>
    <w:rsid w:val="5BD033AD"/>
    <w:rsid w:val="5DDB3291"/>
    <w:rsid w:val="5DF369A1"/>
    <w:rsid w:val="5FBC7B73"/>
    <w:rsid w:val="60F3264F"/>
    <w:rsid w:val="6132067B"/>
    <w:rsid w:val="61C63865"/>
    <w:rsid w:val="63A729A7"/>
    <w:rsid w:val="640815D9"/>
    <w:rsid w:val="651F72D8"/>
    <w:rsid w:val="67100ED9"/>
    <w:rsid w:val="675B5EC3"/>
    <w:rsid w:val="67ED3311"/>
    <w:rsid w:val="68EB60E4"/>
    <w:rsid w:val="6A5135AE"/>
    <w:rsid w:val="6E202C32"/>
    <w:rsid w:val="6F606FD0"/>
    <w:rsid w:val="6FEA072C"/>
    <w:rsid w:val="70E03D4C"/>
    <w:rsid w:val="722D1666"/>
    <w:rsid w:val="72EC7A98"/>
    <w:rsid w:val="76984902"/>
    <w:rsid w:val="775B4689"/>
    <w:rsid w:val="78372035"/>
    <w:rsid w:val="787B0173"/>
    <w:rsid w:val="7982560A"/>
    <w:rsid w:val="7A5E1AFB"/>
    <w:rsid w:val="7AA51F93"/>
    <w:rsid w:val="7B122147"/>
    <w:rsid w:val="7C7D78AD"/>
    <w:rsid w:val="7CEC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rFonts w:ascii="宋体" w:hAnsi="宋体"/>
      <w:sz w:val="28"/>
    </w:rPr>
  </w:style>
  <w:style w:type="paragraph" w:styleId="7">
    <w:name w:val="Body Text First Indent"/>
    <w:basedOn w:val="6"/>
    <w:next w:val="8"/>
    <w:qFormat/>
    <w:uiPriority w:val="99"/>
    <w:pPr>
      <w:ind w:firstLine="420" w:firstLineChars="100"/>
    </w:pPr>
    <w:rPr>
      <w:sz w:val="21"/>
    </w:rPr>
  </w:style>
  <w:style w:type="paragraph" w:styleId="8">
    <w:name w:val="toc 6"/>
    <w:basedOn w:val="1"/>
    <w:next w:val="1"/>
    <w:qFormat/>
    <w:uiPriority w:val="0"/>
    <w:pPr>
      <w:ind w:left="1400"/>
    </w:pPr>
    <w:rPr>
      <w:sz w:val="18"/>
      <w:szCs w:val="18"/>
    </w:rPr>
  </w:style>
  <w:style w:type="paragraph" w:styleId="9">
    <w:name w:val="Body Text Indent"/>
    <w:basedOn w:val="1"/>
    <w:next w:val="4"/>
    <w:qFormat/>
    <w:uiPriority w:val="0"/>
    <w:pPr>
      <w:spacing w:line="480" w:lineRule="auto"/>
      <w:ind w:firstLine="600"/>
    </w:pPr>
    <w:rPr>
      <w:rFonts w:ascii="Times New Roman" w:hAnsi="Times New Roman"/>
      <w:kern w:val="0"/>
      <w:sz w:val="28"/>
      <w:szCs w:val="20"/>
    </w:rPr>
  </w:style>
  <w:style w:type="paragraph" w:styleId="10">
    <w:name w:val="Body Text Indent 2"/>
    <w:basedOn w:val="1"/>
    <w:qFormat/>
    <w:uiPriority w:val="0"/>
    <w:pPr>
      <w:spacing w:line="320" w:lineRule="atLeast"/>
      <w:ind w:firstLine="600" w:firstLineChars="250"/>
    </w:pPr>
    <w:rPr>
      <w:rFonts w:ascii="宋体" w:hAnsi="宋体" w:eastAsia="仿宋_GB2312"/>
      <w:b/>
      <w:sz w:val="24"/>
    </w:rPr>
  </w:style>
  <w:style w:type="paragraph" w:styleId="11">
    <w:name w:val="footer"/>
    <w:basedOn w:val="1"/>
    <w:link w:val="18"/>
    <w:qFormat/>
    <w:uiPriority w:val="0"/>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next w:val="14"/>
    <w:unhideWhenUsed/>
    <w:qFormat/>
    <w:uiPriority w:val="0"/>
    <w:pPr>
      <w:autoSpaceDE w:val="0"/>
      <w:autoSpaceDN w:val="0"/>
      <w:adjustRightInd w:val="0"/>
      <w:ind w:firstLine="420" w:firstLineChars="200"/>
      <w:jc w:val="left"/>
    </w:pPr>
    <w:rPr>
      <w:sz w:val="20"/>
    </w:rPr>
  </w:style>
  <w:style w:type="paragraph" w:customStyle="1" w:styleId="1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脚 字符"/>
    <w:link w:val="11"/>
    <w:qFormat/>
    <w:uiPriority w:val="0"/>
    <w:rPr>
      <w:rFonts w:ascii="Calibri" w:hAnsi="Calibri"/>
      <w:kern w:val="2"/>
      <w:sz w:val="18"/>
      <w:szCs w:val="18"/>
    </w:rPr>
  </w:style>
  <w:style w:type="paragraph" w:customStyle="1" w:styleId="19">
    <w:name w:val="_Style 1"/>
    <w:next w:val="1"/>
    <w:qFormat/>
    <w:uiPriority w:val="99"/>
    <w:rPr>
      <w:rFonts w:ascii="Calibri" w:hAnsi="Calibri" w:eastAsia="宋体" w:cs="Times New Roman"/>
      <w:kern w:val="2"/>
      <w:sz w:val="28"/>
      <w:szCs w:val="22"/>
      <w:lang w:val="en-US" w:eastAsia="zh-CN" w:bidi="ar-SA"/>
    </w:rPr>
  </w:style>
  <w:style w:type="paragraph" w:customStyle="1" w:styleId="20">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2">
    <w:name w:val="font51"/>
    <w:basedOn w:val="17"/>
    <w:qFormat/>
    <w:uiPriority w:val="0"/>
    <w:rPr>
      <w:rFonts w:hint="eastAsia" w:ascii="宋体" w:hAnsi="宋体" w:eastAsia="宋体" w:cs="宋体"/>
      <w:color w:val="000000"/>
      <w:sz w:val="20"/>
      <w:szCs w:val="20"/>
      <w:u w:val="none"/>
    </w:rPr>
  </w:style>
  <w:style w:type="character" w:customStyle="1" w:styleId="23">
    <w:name w:val="font61"/>
    <w:basedOn w:val="17"/>
    <w:qFormat/>
    <w:uiPriority w:val="0"/>
    <w:rPr>
      <w:rFonts w:hint="eastAsia" w:ascii="宋体" w:hAnsi="宋体" w:eastAsia="宋体" w:cs="宋体"/>
      <w:b/>
      <w:color w:val="FF0000"/>
      <w:sz w:val="20"/>
      <w:szCs w:val="20"/>
      <w:u w:val="none"/>
    </w:rPr>
  </w:style>
  <w:style w:type="paragraph" w:styleId="24">
    <w:name w:val="List Paragraph"/>
    <w:basedOn w:val="1"/>
    <w:qFormat/>
    <w:uiPriority w:val="34"/>
    <w:pPr>
      <w:ind w:firstLine="420"/>
    </w:pPr>
  </w:style>
  <w:style w:type="paragraph" w:customStyle="1" w:styleId="25">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618</Words>
  <Characters>3523</Characters>
  <Lines>29</Lines>
  <Paragraphs>8</Paragraphs>
  <TotalTime>0</TotalTime>
  <ScaleCrop>false</ScaleCrop>
  <LinksUpToDate>false</LinksUpToDate>
  <CharactersWithSpaces>4133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2023-03-08T11:06:00Z</dcterms:created>
  <dc:creator>pc120</dc:creator>
  <cp:lastModifiedBy>admin</cp:lastModifiedBy>
  <dcterms:modified xsi:type="dcterms:W3CDTF">2023-03-13T00:15:00Z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9B8D73CA7D274A5AB3C1F69634CC1289</vt:lpwstr>
  </property>
</Properties>
</file>