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ajorEastAsia" w:hAnsiTheme="majorEastAsia" w:eastAsiaTheme="majorEastAsia"/>
          <w:b/>
          <w:color w:val="auto"/>
          <w:spacing w:val="-20"/>
          <w:sz w:val="36"/>
          <w:szCs w:val="36"/>
          <w:highlight w:val="none"/>
        </w:rPr>
      </w:pPr>
      <w:r>
        <w:rPr>
          <w:rFonts w:hint="eastAsia" w:asciiTheme="majorEastAsia" w:hAnsiTheme="majorEastAsia" w:eastAsiaTheme="majorEastAsia"/>
          <w:b/>
          <w:color w:val="auto"/>
          <w:spacing w:val="-20"/>
          <w:sz w:val="36"/>
          <w:szCs w:val="36"/>
          <w:highlight w:val="none"/>
        </w:rPr>
        <w:t>湖州师范学院实验室危险废物收运贮处一体化采购项目</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heme="majorEastAsia" w:hAnsiTheme="majorEastAsia" w:eastAsiaTheme="majorEastAsia"/>
          <w:b/>
          <w:color w:val="auto"/>
          <w:sz w:val="36"/>
          <w:szCs w:val="36"/>
          <w:highlight w:val="none"/>
        </w:rPr>
      </w:pPr>
      <w:r>
        <w:rPr>
          <w:rFonts w:hint="eastAsia" w:asciiTheme="majorEastAsia" w:hAnsiTheme="majorEastAsia" w:eastAsiaTheme="majorEastAsia"/>
          <w:b/>
          <w:color w:val="auto"/>
          <w:sz w:val="36"/>
          <w:szCs w:val="36"/>
          <w:highlight w:val="none"/>
        </w:rPr>
        <w:t>采购文件</w:t>
      </w:r>
    </w:p>
    <w:p>
      <w:pPr>
        <w:ind w:firstLine="472" w:firstLineChars="196"/>
        <w:jc w:val="left"/>
        <w:rPr>
          <w:rFonts w:hint="eastAsia" w:ascii="仿宋" w:hAnsi="仿宋" w:eastAsia="仿宋" w:cs="Times New Roman"/>
          <w:b/>
          <w:color w:val="auto"/>
          <w:sz w:val="24"/>
          <w:szCs w:val="24"/>
          <w:highlight w:val="none"/>
        </w:rPr>
      </w:pPr>
    </w:p>
    <w:p>
      <w:pPr>
        <w:ind w:firstLine="472" w:firstLineChars="196"/>
        <w:jc w:val="left"/>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一、采购项目名称及货物清单及要求：</w:t>
      </w:r>
    </w:p>
    <w:p>
      <w:pPr>
        <w:ind w:firstLine="480" w:firstLineChars="200"/>
        <w:jc w:val="lef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1.项目名称：湖州师范学院实验室危险废物收运贮处一体化采购项目</w:t>
      </w:r>
    </w:p>
    <w:p>
      <w:pPr>
        <w:ind w:firstLine="480" w:firstLineChars="200"/>
        <w:jc w:val="left"/>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2.采购项目编号：</w:t>
      </w:r>
      <w:r>
        <w:rPr>
          <w:rFonts w:hint="eastAsia" w:ascii="仿宋" w:hAnsi="仿宋" w:eastAsia="仿宋"/>
          <w:color w:val="auto"/>
          <w:sz w:val="24"/>
          <w:szCs w:val="24"/>
          <w:highlight w:val="none"/>
        </w:rPr>
        <w:t>XZ202</w:t>
      </w:r>
      <w:r>
        <w:rPr>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037</w:t>
      </w:r>
    </w:p>
    <w:p>
      <w:pPr>
        <w:ind w:firstLine="480" w:firstLineChars="200"/>
        <w:jc w:val="lef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3.采购组织类型：分散采购自行组织</w:t>
      </w:r>
    </w:p>
    <w:p>
      <w:pPr>
        <w:ind w:firstLine="480" w:firstLineChars="200"/>
        <w:jc w:val="left"/>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rPr>
        <w:t>4.采购方式：校内</w:t>
      </w:r>
      <w:r>
        <w:rPr>
          <w:rFonts w:hint="eastAsia" w:ascii="仿宋" w:hAnsi="仿宋" w:eastAsia="仿宋"/>
          <w:color w:val="auto"/>
          <w:sz w:val="24"/>
          <w:szCs w:val="24"/>
          <w:highlight w:val="none"/>
          <w:lang w:eastAsia="zh-CN"/>
        </w:rPr>
        <w:t>竞争性谈判</w:t>
      </w:r>
    </w:p>
    <w:p>
      <w:pPr>
        <w:ind w:firstLine="480" w:firstLineChars="200"/>
        <w:rPr>
          <w:rFonts w:ascii="仿宋" w:hAnsi="仿宋" w:eastAsia="仿宋"/>
          <w:color w:val="auto"/>
          <w:sz w:val="24"/>
          <w:highlight w:val="none"/>
        </w:rPr>
      </w:pPr>
      <w:r>
        <w:rPr>
          <w:rFonts w:hint="eastAsia" w:ascii="仿宋" w:hAnsi="仿宋" w:eastAsia="仿宋" w:cs="Times New Roman"/>
          <w:color w:val="auto"/>
          <w:sz w:val="24"/>
          <w:szCs w:val="24"/>
          <w:highlight w:val="none"/>
        </w:rPr>
        <w:t>5.采购预算：</w:t>
      </w:r>
      <w:r>
        <w:rPr>
          <w:rFonts w:hint="eastAsia" w:ascii="仿宋" w:hAnsi="仿宋" w:eastAsia="仿宋"/>
          <w:color w:val="auto"/>
          <w:sz w:val="24"/>
          <w:highlight w:val="none"/>
        </w:rPr>
        <w:t>人民币</w:t>
      </w:r>
      <w:r>
        <w:rPr>
          <w:rFonts w:hint="eastAsia" w:ascii="仿宋" w:hAnsi="仿宋" w:eastAsia="仿宋"/>
          <w:color w:val="auto"/>
          <w:sz w:val="24"/>
          <w:highlight w:val="none"/>
          <w:lang w:eastAsia="zh-CN"/>
        </w:rPr>
        <w:t>肆拾</w:t>
      </w:r>
      <w:r>
        <w:rPr>
          <w:rFonts w:hint="eastAsia" w:ascii="仿宋" w:hAnsi="仿宋" w:eastAsia="仿宋"/>
          <w:color w:val="auto"/>
          <w:sz w:val="24"/>
          <w:highlight w:val="none"/>
        </w:rPr>
        <w:t>万元（￥</w:t>
      </w:r>
      <w:r>
        <w:rPr>
          <w:rFonts w:hint="eastAsia" w:ascii="仿宋" w:hAnsi="仿宋" w:eastAsia="仿宋"/>
          <w:color w:val="auto"/>
          <w:sz w:val="24"/>
          <w:highlight w:val="none"/>
          <w:lang w:val="en-US" w:eastAsia="zh-CN"/>
        </w:rPr>
        <w:t>400</w:t>
      </w:r>
      <w:r>
        <w:rPr>
          <w:rFonts w:hint="eastAsia" w:ascii="仿宋" w:hAnsi="仿宋" w:eastAsia="仿宋"/>
          <w:color w:val="auto"/>
          <w:sz w:val="24"/>
          <w:highlight w:val="none"/>
        </w:rPr>
        <w:t>000元）</w:t>
      </w:r>
    </w:p>
    <w:p>
      <w:pPr>
        <w:ind w:firstLine="480" w:firstLineChars="200"/>
        <w:jc w:val="left"/>
        <w:rPr>
          <w:rFonts w:ascii="仿宋" w:hAnsi="仿宋" w:eastAsia="仿宋"/>
          <w:color w:val="auto"/>
          <w:sz w:val="24"/>
          <w:highlight w:val="none"/>
        </w:rPr>
      </w:pPr>
      <w:r>
        <w:rPr>
          <w:rFonts w:hint="eastAsia" w:ascii="仿宋" w:hAnsi="仿宋" w:eastAsia="仿宋" w:cs="Times New Roman"/>
          <w:color w:val="auto"/>
          <w:sz w:val="24"/>
          <w:szCs w:val="24"/>
          <w:highlight w:val="none"/>
        </w:rPr>
        <w:t>6.</w:t>
      </w:r>
      <w:r>
        <w:rPr>
          <w:rFonts w:hint="eastAsia" w:ascii="仿宋" w:hAnsi="仿宋" w:eastAsia="仿宋" w:cs="Times New Roman"/>
          <w:color w:val="auto"/>
          <w:sz w:val="24"/>
          <w:szCs w:val="24"/>
          <w:highlight w:val="none"/>
          <w:lang w:eastAsia="zh-CN"/>
        </w:rPr>
        <w:t>服务要</w:t>
      </w:r>
      <w:r>
        <w:rPr>
          <w:rFonts w:hint="eastAsia" w:ascii="仿宋" w:hAnsi="仿宋" w:eastAsia="仿宋" w:cs="Times New Roman"/>
          <w:color w:val="auto"/>
          <w:sz w:val="24"/>
          <w:szCs w:val="24"/>
          <w:highlight w:val="none"/>
        </w:rPr>
        <w:t>求及</w:t>
      </w:r>
      <w:r>
        <w:rPr>
          <w:rFonts w:hint="eastAsia" w:ascii="仿宋" w:hAnsi="仿宋" w:eastAsia="仿宋"/>
          <w:color w:val="auto"/>
          <w:sz w:val="24"/>
          <w:highlight w:val="none"/>
        </w:rPr>
        <w:t>清单：</w:t>
      </w:r>
    </w:p>
    <w:p>
      <w:pPr>
        <w:ind w:firstLine="480" w:firstLineChars="200"/>
        <w:contextualSpacing/>
        <w:jc w:val="left"/>
        <w:rPr>
          <w:rFonts w:ascii="仿宋" w:hAnsi="仿宋" w:eastAsia="仿宋" w:cs="Times New Roman"/>
          <w:color w:val="auto"/>
          <w:sz w:val="24"/>
          <w:highlight w:val="none"/>
        </w:rPr>
      </w:pPr>
      <w:r>
        <w:rPr>
          <w:rFonts w:hint="eastAsia" w:ascii="仿宋" w:hAnsi="仿宋" w:eastAsia="仿宋" w:cs="Times New Roman"/>
          <w:color w:val="auto"/>
          <w:sz w:val="24"/>
          <w:highlight w:val="none"/>
        </w:rPr>
        <w:t>6.1</w:t>
      </w:r>
      <w:r>
        <w:rPr>
          <w:rFonts w:hint="eastAsia" w:ascii="仿宋" w:hAnsi="仿宋" w:eastAsia="仿宋" w:cs="Times New Roman"/>
          <w:color w:val="auto"/>
          <w:sz w:val="24"/>
          <w:highlight w:val="none"/>
          <w:lang w:eastAsia="zh-CN"/>
        </w:rPr>
        <w:t>服务总体要</w:t>
      </w:r>
      <w:r>
        <w:rPr>
          <w:rFonts w:hint="eastAsia" w:ascii="仿宋" w:hAnsi="仿宋" w:eastAsia="仿宋" w:cs="Times New Roman"/>
          <w:color w:val="auto"/>
          <w:sz w:val="24"/>
          <w:highlight w:val="none"/>
        </w:rPr>
        <w:t>求</w:t>
      </w:r>
    </w:p>
    <w:p>
      <w:pPr>
        <w:numPr>
          <w:ilvl w:val="0"/>
          <w:numId w:val="1"/>
        </w:numPr>
        <w:ind w:firstLine="480" w:firstLineChars="20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要求中标单位按照《中华人民共和国环境保护法》、《中华人民共和国固体废物污染环境防治法》、《危险废物转移联单管理办法》、《危险废物经营许可证管理办法》等环保法规相关规定开展本项目内危化品的运输、存储及处置服务。</w:t>
      </w:r>
    </w:p>
    <w:p>
      <w:pPr>
        <w:numPr>
          <w:ilvl w:val="0"/>
          <w:numId w:val="1"/>
        </w:numPr>
        <w:ind w:firstLine="480" w:firstLineChars="20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负责实验室危废收集、处置单位要保留与实验室废物产生单位之间实验室废物来往的相关记录凭据，协助指导产生单位开展申报登记、管理计划备案、转移联单、信息系统填报等相关管理工作。</w:t>
      </w:r>
    </w:p>
    <w:p>
      <w:pPr>
        <w:numPr>
          <w:ilvl w:val="0"/>
          <w:numId w:val="1"/>
        </w:numPr>
        <w:ind w:firstLine="480" w:firstLineChars="20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废液</w:t>
      </w:r>
      <w:r>
        <w:rPr>
          <w:rFonts w:hint="eastAsia" w:ascii="仿宋" w:hAnsi="仿宋" w:eastAsia="仿宋"/>
          <w:color w:val="auto"/>
          <w:sz w:val="24"/>
          <w:highlight w:val="none"/>
          <w:lang w:val="en-US" w:eastAsia="zh-CN"/>
        </w:rPr>
        <w:t>.</w:t>
      </w:r>
      <w:r>
        <w:rPr>
          <w:rFonts w:hint="eastAsia" w:ascii="仿宋" w:hAnsi="仿宋" w:eastAsia="仿宋"/>
          <w:color w:val="auto"/>
          <w:sz w:val="24"/>
          <w:highlight w:val="none"/>
          <w:lang w:eastAsia="zh-CN"/>
        </w:rPr>
        <w:t>废物运输需严格按《危险废物转移联单管理办法》执行，符合国家相关管理规定要求。提供危废转运现场指导与服务等，做好危险废物运输过程中的污染防治工作，遵守国家有关危险废物管理的规定，违反国家危险废物管理的行为承担法律责任。</w:t>
      </w:r>
    </w:p>
    <w:p>
      <w:pPr>
        <w:numPr>
          <w:ilvl w:val="0"/>
          <w:numId w:val="1"/>
        </w:numPr>
        <w:ind w:firstLine="480" w:firstLineChars="20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实验室废物转存贮存地点符合《危险废物贮存污染控制标准》</w:t>
      </w:r>
      <w:r>
        <w:rPr>
          <w:rFonts w:hint="eastAsia" w:ascii="仿宋" w:hAnsi="仿宋" w:eastAsia="仿宋"/>
          <w:color w:val="auto"/>
          <w:sz w:val="24"/>
          <w:highlight w:val="none"/>
          <w:lang w:val="en-US" w:eastAsia="zh-CN"/>
        </w:rPr>
        <w:t>(GB18597-2001)、</w:t>
      </w:r>
      <w:r>
        <w:rPr>
          <w:rFonts w:hint="eastAsia" w:ascii="仿宋" w:hAnsi="仿宋" w:eastAsia="仿宋"/>
          <w:color w:val="auto"/>
          <w:sz w:val="24"/>
          <w:highlight w:val="none"/>
          <w:lang w:eastAsia="zh-CN"/>
        </w:rPr>
        <w:t>《危险废物收集贮存运输技术规范》要求，符合国家相关管理规定要求，确保全过程安全、可靠。根据《浙江省生态文明示范创建行动计划》(浙政发〔2018〕18号)、《浙江省清废行动实施方案》(浙政办发〔2018〕86号)的要求，按照处置能力满足“生活垃圾不出县、危险废物不出市”的原则，废弃物转存要去地点限湖州市（含三县两区）内。</w:t>
      </w:r>
    </w:p>
    <w:p>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6.2</w:t>
      </w:r>
      <w:r>
        <w:rPr>
          <w:rFonts w:hint="eastAsia" w:ascii="仿宋" w:hAnsi="仿宋" w:eastAsia="仿宋"/>
          <w:color w:val="auto"/>
          <w:sz w:val="24"/>
          <w:highlight w:val="none"/>
          <w:lang w:eastAsia="zh-CN"/>
        </w:rPr>
        <w:t>服务</w:t>
      </w:r>
      <w:r>
        <w:rPr>
          <w:rFonts w:hint="eastAsia" w:ascii="仿宋" w:hAnsi="仿宋" w:eastAsia="仿宋"/>
          <w:color w:val="auto"/>
          <w:sz w:val="24"/>
          <w:highlight w:val="none"/>
        </w:rPr>
        <w:t>清单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496"/>
        <w:gridCol w:w="1861"/>
        <w:gridCol w:w="610"/>
        <w:gridCol w:w="859"/>
        <w:gridCol w:w="1448"/>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pPr>
              <w:jc w:val="left"/>
              <w:rPr>
                <w:rFonts w:hint="eastAsia" w:ascii="仿宋" w:hAnsi="仿宋" w:eastAsia="仿宋"/>
                <w:color w:val="auto"/>
                <w:sz w:val="24"/>
                <w:highlight w:val="none"/>
                <w:vertAlign w:val="baseline"/>
                <w:lang w:eastAsia="zh-CN"/>
              </w:rPr>
            </w:pPr>
            <w:r>
              <w:rPr>
                <w:rFonts w:hint="eastAsia" w:ascii="仿宋" w:hAnsi="仿宋" w:eastAsia="仿宋"/>
                <w:color w:val="auto"/>
                <w:sz w:val="24"/>
                <w:highlight w:val="none"/>
                <w:vertAlign w:val="baseline"/>
                <w:lang w:eastAsia="zh-CN"/>
              </w:rPr>
              <w:t>序号</w:t>
            </w:r>
          </w:p>
        </w:tc>
        <w:tc>
          <w:tcPr>
            <w:tcW w:w="1496" w:type="dxa"/>
            <w:vAlign w:val="center"/>
          </w:tcPr>
          <w:p>
            <w:pPr>
              <w:jc w:val="left"/>
              <w:rPr>
                <w:rFonts w:hint="eastAsia" w:ascii="仿宋" w:hAnsi="仿宋" w:eastAsia="仿宋"/>
                <w:color w:val="auto"/>
                <w:sz w:val="24"/>
                <w:highlight w:val="none"/>
                <w:vertAlign w:val="baseline"/>
                <w:lang w:eastAsia="zh-CN"/>
              </w:rPr>
            </w:pPr>
            <w:r>
              <w:rPr>
                <w:rFonts w:hint="default" w:ascii="仿宋" w:hAnsi="仿宋" w:eastAsia="仿宋"/>
                <w:color w:val="auto"/>
                <w:sz w:val="24"/>
                <w:highlight w:val="none"/>
                <w:vertAlign w:val="baseline"/>
                <w:lang w:val="en-US" w:eastAsia="zh-CN"/>
              </w:rPr>
              <w:t>名称</w:t>
            </w:r>
          </w:p>
        </w:tc>
        <w:tc>
          <w:tcPr>
            <w:tcW w:w="1861" w:type="dxa"/>
          </w:tcPr>
          <w:p>
            <w:pPr>
              <w:jc w:val="left"/>
              <w:rPr>
                <w:rFonts w:hint="eastAsia" w:ascii="仿宋" w:hAnsi="仿宋" w:eastAsia="仿宋"/>
                <w:color w:val="auto"/>
                <w:sz w:val="24"/>
                <w:highlight w:val="none"/>
                <w:vertAlign w:val="baseline"/>
                <w:lang w:eastAsia="zh-CN"/>
              </w:rPr>
            </w:pPr>
            <w:r>
              <w:rPr>
                <w:rFonts w:hint="eastAsia" w:ascii="仿宋" w:hAnsi="仿宋" w:eastAsia="仿宋"/>
                <w:color w:val="auto"/>
                <w:sz w:val="24"/>
                <w:highlight w:val="none"/>
                <w:vertAlign w:val="baseline"/>
                <w:lang w:eastAsia="zh-CN"/>
              </w:rPr>
              <w:t>服务内容</w:t>
            </w:r>
          </w:p>
        </w:tc>
        <w:tc>
          <w:tcPr>
            <w:tcW w:w="610" w:type="dxa"/>
            <w:vAlign w:val="center"/>
          </w:tcPr>
          <w:p>
            <w:pPr>
              <w:keepNext w:val="0"/>
              <w:keepLines w:val="0"/>
              <w:widowControl/>
              <w:suppressLineNumbers w:val="0"/>
              <w:jc w:val="center"/>
              <w:textAlignment w:val="center"/>
              <w:rPr>
                <w:rFonts w:hint="eastAsia" w:ascii="仿宋" w:hAnsi="仿宋" w:eastAsia="仿宋"/>
                <w:b w:val="0"/>
                <w:bCs w:val="0"/>
                <w:color w:val="auto"/>
                <w:sz w:val="21"/>
                <w:szCs w:val="21"/>
                <w:highlight w:val="none"/>
                <w:vertAlign w:val="baseline"/>
                <w:lang w:eastAsia="zh-CN"/>
              </w:rPr>
            </w:pPr>
            <w:r>
              <w:rPr>
                <w:rFonts w:hint="eastAsia" w:ascii="仿宋" w:hAnsi="仿宋" w:eastAsia="仿宋"/>
                <w:b w:val="0"/>
                <w:bCs w:val="0"/>
                <w:color w:val="auto"/>
                <w:sz w:val="21"/>
                <w:szCs w:val="21"/>
                <w:highlight w:val="none"/>
                <w:vertAlign w:val="baseline"/>
                <w:lang w:eastAsia="zh-CN"/>
              </w:rPr>
              <w:t>单位</w:t>
            </w:r>
          </w:p>
        </w:tc>
        <w:tc>
          <w:tcPr>
            <w:tcW w:w="859" w:type="dxa"/>
            <w:vAlign w:val="center"/>
          </w:tcPr>
          <w:p>
            <w:pPr>
              <w:jc w:val="center"/>
              <w:rPr>
                <w:rFonts w:hint="eastAsia" w:ascii="仿宋" w:hAnsi="仿宋" w:eastAsia="仿宋"/>
                <w:color w:val="auto"/>
                <w:sz w:val="24"/>
                <w:highlight w:val="none"/>
                <w:vertAlign w:val="baseline"/>
                <w:lang w:eastAsia="zh-CN"/>
              </w:rPr>
            </w:pPr>
            <w:r>
              <w:rPr>
                <w:rFonts w:hint="eastAsia" w:ascii="仿宋" w:hAnsi="仿宋" w:eastAsia="仿宋"/>
                <w:color w:val="auto"/>
                <w:sz w:val="24"/>
                <w:highlight w:val="none"/>
                <w:vertAlign w:val="baseline"/>
                <w:lang w:eastAsia="zh-CN"/>
              </w:rPr>
              <w:t>数量</w:t>
            </w:r>
          </w:p>
        </w:tc>
        <w:tc>
          <w:tcPr>
            <w:tcW w:w="1448" w:type="dxa"/>
            <w:vAlign w:val="center"/>
          </w:tcPr>
          <w:p>
            <w:pPr>
              <w:jc w:val="center"/>
              <w:rPr>
                <w:rFonts w:hint="eastAsia" w:ascii="仿宋" w:hAnsi="仿宋" w:eastAsia="仿宋"/>
                <w:color w:val="auto"/>
                <w:sz w:val="24"/>
                <w:highlight w:val="none"/>
                <w:vertAlign w:val="baseline"/>
                <w:lang w:eastAsia="zh-CN"/>
              </w:rPr>
            </w:pPr>
            <w:r>
              <w:rPr>
                <w:rFonts w:hint="eastAsia" w:ascii="仿宋" w:hAnsi="仿宋" w:eastAsia="仿宋"/>
                <w:color w:val="auto"/>
                <w:sz w:val="24"/>
                <w:highlight w:val="none"/>
                <w:vertAlign w:val="baseline"/>
                <w:lang w:val="en-US" w:eastAsia="zh-CN"/>
              </w:rPr>
              <w:t>预算</w:t>
            </w:r>
            <w:r>
              <w:rPr>
                <w:rFonts w:hint="eastAsia" w:ascii="仿宋" w:hAnsi="仿宋" w:eastAsia="仿宋"/>
                <w:color w:val="auto"/>
                <w:sz w:val="24"/>
                <w:highlight w:val="none"/>
                <w:vertAlign w:val="baseline"/>
                <w:lang w:eastAsia="zh-CN"/>
              </w:rPr>
              <w:t>单价</w:t>
            </w:r>
          </w:p>
        </w:tc>
        <w:tc>
          <w:tcPr>
            <w:tcW w:w="1237" w:type="dxa"/>
            <w:vAlign w:val="center"/>
          </w:tcPr>
          <w:p>
            <w:pPr>
              <w:jc w:val="center"/>
              <w:rPr>
                <w:rFonts w:hint="eastAsia" w:ascii="仿宋" w:hAnsi="仿宋" w:eastAsia="仿宋"/>
                <w:color w:val="auto"/>
                <w:sz w:val="24"/>
                <w:highlight w:val="none"/>
                <w:vertAlign w:val="baseline"/>
                <w:lang w:eastAsia="zh-CN"/>
              </w:rPr>
            </w:pPr>
            <w:r>
              <w:rPr>
                <w:rFonts w:hint="eastAsia" w:ascii="仿宋" w:hAnsi="仿宋" w:eastAsia="仿宋"/>
                <w:color w:val="auto"/>
                <w:sz w:val="24"/>
                <w:highlight w:val="none"/>
                <w:vertAlign w:val="baseline"/>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jc w:val="center"/>
              <w:rPr>
                <w:rFonts w:hint="eastAsia" w:ascii="仿宋" w:hAnsi="仿宋" w:eastAsia="仿宋"/>
                <w:color w:val="auto"/>
                <w:sz w:val="24"/>
                <w:highlight w:val="none"/>
                <w:vertAlign w:val="baseline"/>
                <w:lang w:val="en-US" w:eastAsia="zh-CN"/>
              </w:rPr>
            </w:pPr>
            <w:r>
              <w:rPr>
                <w:rFonts w:hint="eastAsia" w:ascii="仿宋" w:hAnsi="仿宋" w:eastAsia="仿宋"/>
                <w:color w:val="auto"/>
                <w:sz w:val="24"/>
                <w:highlight w:val="none"/>
                <w:vertAlign w:val="baseline"/>
                <w:lang w:val="en-US" w:eastAsia="zh-CN"/>
              </w:rPr>
              <w:t>1</w:t>
            </w:r>
          </w:p>
        </w:tc>
        <w:tc>
          <w:tcPr>
            <w:tcW w:w="1496" w:type="dxa"/>
            <w:vAlign w:val="center"/>
          </w:tcPr>
          <w:p>
            <w:pPr>
              <w:jc w:val="left"/>
              <w:rPr>
                <w:rFonts w:hint="eastAsia" w:ascii="仿宋" w:hAnsi="仿宋" w:eastAsia="仿宋"/>
                <w:color w:val="auto"/>
                <w:sz w:val="21"/>
                <w:szCs w:val="21"/>
                <w:highlight w:val="none"/>
                <w:vertAlign w:val="baseline"/>
                <w:lang w:eastAsia="zh-CN"/>
              </w:rPr>
            </w:pPr>
            <w:r>
              <w:rPr>
                <w:rFonts w:hint="default" w:ascii="仿宋" w:hAnsi="仿宋" w:eastAsia="仿宋"/>
                <w:color w:val="auto"/>
                <w:sz w:val="21"/>
                <w:szCs w:val="21"/>
                <w:highlight w:val="none"/>
                <w:vertAlign w:val="baseline"/>
                <w:lang w:val="en-US" w:eastAsia="zh-CN"/>
              </w:rPr>
              <w:t>实验室废液处置服务</w:t>
            </w:r>
          </w:p>
        </w:tc>
        <w:tc>
          <w:tcPr>
            <w:tcW w:w="1861" w:type="dxa"/>
          </w:tcPr>
          <w:p>
            <w:pPr>
              <w:jc w:val="left"/>
              <w:rPr>
                <w:rFonts w:hint="eastAsia" w:ascii="仿宋" w:hAnsi="仿宋" w:eastAsia="仿宋"/>
                <w:color w:val="auto"/>
                <w:sz w:val="21"/>
                <w:szCs w:val="21"/>
                <w:highlight w:val="none"/>
                <w:vertAlign w:val="baseline"/>
              </w:rPr>
            </w:pPr>
            <w:r>
              <w:rPr>
                <w:rFonts w:hint="eastAsia" w:ascii="仿宋" w:hAnsi="仿宋" w:eastAsia="仿宋"/>
                <w:color w:val="auto"/>
                <w:sz w:val="21"/>
                <w:szCs w:val="21"/>
                <w:highlight w:val="none"/>
                <w:vertAlign w:val="baseline"/>
                <w:lang w:eastAsia="zh-CN"/>
              </w:rPr>
              <w:t>实验活动产生的废液的处置服务，</w:t>
            </w:r>
            <w:r>
              <w:rPr>
                <w:rFonts w:hint="eastAsia" w:ascii="仿宋" w:hAnsi="仿宋" w:eastAsia="仿宋"/>
                <w:color w:val="auto"/>
                <w:sz w:val="21"/>
                <w:szCs w:val="21"/>
                <w:highlight w:val="none"/>
                <w:vertAlign w:val="baseline"/>
              </w:rPr>
              <w:t>25L废液桶盛装，无需再稀释</w:t>
            </w:r>
          </w:p>
        </w:tc>
        <w:tc>
          <w:tcPr>
            <w:tcW w:w="610" w:type="dxa"/>
            <w:vAlign w:val="center"/>
          </w:tcPr>
          <w:p>
            <w:pPr>
              <w:keepNext w:val="0"/>
              <w:keepLines w:val="0"/>
              <w:widowControl/>
              <w:suppressLineNumbers w:val="0"/>
              <w:jc w:val="center"/>
              <w:textAlignment w:val="center"/>
              <w:rPr>
                <w:rFonts w:hint="eastAsia" w:ascii="仿宋" w:hAnsi="仿宋" w:eastAsia="仿宋"/>
                <w:b w:val="0"/>
                <w:bCs w:val="0"/>
                <w:color w:val="auto"/>
                <w:sz w:val="21"/>
                <w:szCs w:val="21"/>
                <w:highlight w:val="none"/>
                <w:vertAlign w:val="baseline"/>
              </w:rPr>
            </w:pPr>
            <w:r>
              <w:rPr>
                <w:rFonts w:hint="default" w:ascii="仿宋_GB2312" w:hAnsi="宋体" w:eastAsia="仿宋_GB2312" w:cs="仿宋_GB2312"/>
                <w:b w:val="0"/>
                <w:bCs w:val="0"/>
                <w:i w:val="0"/>
                <w:iCs w:val="0"/>
                <w:color w:val="auto"/>
                <w:kern w:val="0"/>
                <w:sz w:val="21"/>
                <w:szCs w:val="21"/>
                <w:highlight w:val="none"/>
                <w:u w:val="none"/>
                <w:lang w:val="en-US" w:eastAsia="zh-CN" w:bidi="ar"/>
              </w:rPr>
              <w:t>吨</w:t>
            </w:r>
          </w:p>
        </w:tc>
        <w:tc>
          <w:tcPr>
            <w:tcW w:w="859" w:type="dxa"/>
            <w:vAlign w:val="center"/>
          </w:tcPr>
          <w:p>
            <w:pPr>
              <w:jc w:val="center"/>
              <w:rPr>
                <w:rFonts w:hint="default" w:ascii="仿宋" w:hAnsi="仿宋" w:eastAsia="仿宋"/>
                <w:color w:val="auto"/>
                <w:sz w:val="24"/>
                <w:highlight w:val="none"/>
                <w:vertAlign w:val="baseline"/>
                <w:lang w:val="en-US" w:eastAsia="zh-CN"/>
              </w:rPr>
            </w:pPr>
            <w:r>
              <w:rPr>
                <w:rFonts w:hint="eastAsia" w:ascii="仿宋" w:hAnsi="仿宋" w:eastAsia="仿宋"/>
                <w:color w:val="auto"/>
                <w:sz w:val="24"/>
                <w:highlight w:val="none"/>
                <w:vertAlign w:val="baseline"/>
                <w:lang w:eastAsia="zh-CN"/>
              </w:rPr>
              <w:t>约</w:t>
            </w:r>
            <w:r>
              <w:rPr>
                <w:rFonts w:hint="eastAsia" w:ascii="仿宋" w:hAnsi="仿宋" w:eastAsia="仿宋"/>
                <w:color w:val="auto"/>
                <w:sz w:val="24"/>
                <w:highlight w:val="none"/>
                <w:vertAlign w:val="baseline"/>
                <w:lang w:val="en-US" w:eastAsia="zh-CN"/>
              </w:rPr>
              <w:t>9</w:t>
            </w:r>
          </w:p>
        </w:tc>
        <w:tc>
          <w:tcPr>
            <w:tcW w:w="1448" w:type="dxa"/>
            <w:vAlign w:val="center"/>
          </w:tcPr>
          <w:p>
            <w:pPr>
              <w:jc w:val="center"/>
              <w:rPr>
                <w:rFonts w:hint="default" w:ascii="仿宋" w:hAnsi="仿宋" w:eastAsia="仿宋"/>
                <w:color w:val="auto"/>
                <w:sz w:val="24"/>
                <w:highlight w:val="none"/>
                <w:vertAlign w:val="baseline"/>
                <w:lang w:val="en-US" w:eastAsia="zh-CN"/>
              </w:rPr>
            </w:pPr>
            <w:r>
              <w:rPr>
                <w:rFonts w:hint="eastAsia" w:ascii="仿宋" w:hAnsi="仿宋" w:eastAsia="仿宋"/>
                <w:color w:val="auto"/>
                <w:sz w:val="24"/>
                <w:highlight w:val="none"/>
                <w:vertAlign w:val="baseline"/>
                <w:lang w:val="en-US" w:eastAsia="zh-CN"/>
              </w:rPr>
              <w:t>14000元</w:t>
            </w:r>
          </w:p>
        </w:tc>
        <w:tc>
          <w:tcPr>
            <w:tcW w:w="1237" w:type="dxa"/>
            <w:vMerge w:val="restart"/>
            <w:vAlign w:val="center"/>
          </w:tcPr>
          <w:p>
            <w:pPr>
              <w:jc w:val="center"/>
              <w:rPr>
                <w:rFonts w:hint="default" w:ascii="仿宋" w:hAnsi="仿宋" w:eastAsia="仿宋"/>
                <w:color w:val="auto"/>
                <w:sz w:val="24"/>
                <w:highlight w:val="none"/>
                <w:vertAlign w:val="baseline"/>
                <w:lang w:val="en-US" w:eastAsia="zh-CN"/>
              </w:rPr>
            </w:pPr>
            <w:r>
              <w:rPr>
                <w:rFonts w:hint="eastAsia" w:ascii="仿宋" w:hAnsi="仿宋" w:eastAsia="仿宋"/>
                <w:color w:val="auto"/>
                <w:sz w:val="24"/>
                <w:highlight w:val="none"/>
                <w:vertAlign w:val="baseline"/>
                <w:lang w:val="en-US" w:eastAsia="zh-CN"/>
              </w:rPr>
              <w:t>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jc w:val="center"/>
              <w:rPr>
                <w:rFonts w:hint="eastAsia" w:ascii="仿宋" w:hAnsi="仿宋" w:eastAsia="仿宋"/>
                <w:color w:val="auto"/>
                <w:sz w:val="24"/>
                <w:highlight w:val="none"/>
                <w:vertAlign w:val="baseline"/>
                <w:lang w:val="en-US" w:eastAsia="zh-CN"/>
              </w:rPr>
            </w:pPr>
            <w:r>
              <w:rPr>
                <w:rFonts w:hint="eastAsia" w:ascii="仿宋" w:hAnsi="仿宋" w:eastAsia="仿宋"/>
                <w:color w:val="auto"/>
                <w:sz w:val="24"/>
                <w:highlight w:val="none"/>
                <w:vertAlign w:val="baseline"/>
                <w:lang w:val="en-US" w:eastAsia="zh-CN"/>
              </w:rPr>
              <w:t>2</w:t>
            </w:r>
          </w:p>
        </w:tc>
        <w:tc>
          <w:tcPr>
            <w:tcW w:w="1496" w:type="dxa"/>
            <w:vAlign w:val="center"/>
          </w:tcPr>
          <w:p>
            <w:pPr>
              <w:jc w:val="left"/>
              <w:rPr>
                <w:rFonts w:hint="eastAsia" w:ascii="仿宋" w:hAnsi="仿宋" w:eastAsia="仿宋"/>
                <w:color w:val="auto"/>
                <w:sz w:val="21"/>
                <w:szCs w:val="21"/>
                <w:highlight w:val="none"/>
                <w:vertAlign w:val="baseline"/>
                <w:lang w:eastAsia="zh-CN"/>
              </w:rPr>
            </w:pPr>
            <w:r>
              <w:rPr>
                <w:rFonts w:hint="default" w:ascii="仿宋" w:hAnsi="仿宋" w:eastAsia="仿宋"/>
                <w:color w:val="auto"/>
                <w:sz w:val="21"/>
                <w:szCs w:val="21"/>
                <w:highlight w:val="none"/>
                <w:vertAlign w:val="baseline"/>
                <w:lang w:val="en-US" w:eastAsia="zh-CN"/>
              </w:rPr>
              <w:t>实验室废弃物处置服务</w:t>
            </w:r>
          </w:p>
        </w:tc>
        <w:tc>
          <w:tcPr>
            <w:tcW w:w="1861" w:type="dxa"/>
          </w:tcPr>
          <w:p>
            <w:pPr>
              <w:jc w:val="left"/>
              <w:rPr>
                <w:rFonts w:hint="eastAsia" w:ascii="仿宋" w:hAnsi="仿宋" w:eastAsia="仿宋"/>
                <w:color w:val="auto"/>
                <w:sz w:val="21"/>
                <w:szCs w:val="21"/>
                <w:highlight w:val="none"/>
                <w:vertAlign w:val="baseline"/>
                <w:lang w:eastAsia="zh-CN"/>
              </w:rPr>
            </w:pPr>
            <w:r>
              <w:rPr>
                <w:rFonts w:hint="eastAsia" w:ascii="仿宋" w:hAnsi="仿宋" w:eastAsia="仿宋"/>
                <w:color w:val="auto"/>
                <w:sz w:val="21"/>
                <w:szCs w:val="21"/>
                <w:highlight w:val="none"/>
                <w:vertAlign w:val="baseline"/>
              </w:rPr>
              <w:t>实验室活动产生的沾染废弃物：废包装物、废容器、废手套、废纸巾等</w:t>
            </w:r>
            <w:r>
              <w:rPr>
                <w:rFonts w:hint="eastAsia" w:ascii="仿宋" w:hAnsi="仿宋" w:eastAsia="仿宋"/>
                <w:color w:val="auto"/>
                <w:sz w:val="21"/>
                <w:szCs w:val="21"/>
                <w:highlight w:val="none"/>
                <w:vertAlign w:val="baseline"/>
                <w:lang w:eastAsia="zh-CN"/>
              </w:rPr>
              <w:t>沾染废弃物的处置服务</w:t>
            </w:r>
          </w:p>
        </w:tc>
        <w:tc>
          <w:tcPr>
            <w:tcW w:w="610" w:type="dxa"/>
            <w:vAlign w:val="center"/>
          </w:tcPr>
          <w:p>
            <w:pPr>
              <w:keepNext w:val="0"/>
              <w:keepLines w:val="0"/>
              <w:widowControl/>
              <w:suppressLineNumbers w:val="0"/>
              <w:jc w:val="center"/>
              <w:textAlignment w:val="center"/>
              <w:rPr>
                <w:rFonts w:hint="eastAsia" w:ascii="仿宋" w:hAnsi="仿宋" w:eastAsia="仿宋"/>
                <w:b w:val="0"/>
                <w:bCs w:val="0"/>
                <w:color w:val="auto"/>
                <w:sz w:val="21"/>
                <w:szCs w:val="21"/>
                <w:highlight w:val="none"/>
                <w:vertAlign w:val="baseline"/>
              </w:rPr>
            </w:pPr>
            <w:r>
              <w:rPr>
                <w:rFonts w:hint="default" w:ascii="仿宋_GB2312" w:hAnsi="宋体" w:eastAsia="仿宋_GB2312" w:cs="仿宋_GB2312"/>
                <w:b w:val="0"/>
                <w:bCs w:val="0"/>
                <w:i w:val="0"/>
                <w:iCs w:val="0"/>
                <w:color w:val="auto"/>
                <w:kern w:val="0"/>
                <w:sz w:val="21"/>
                <w:szCs w:val="21"/>
                <w:highlight w:val="none"/>
                <w:u w:val="none"/>
                <w:lang w:val="en-US" w:eastAsia="zh-CN" w:bidi="ar"/>
              </w:rPr>
              <w:t>吨</w:t>
            </w:r>
          </w:p>
        </w:tc>
        <w:tc>
          <w:tcPr>
            <w:tcW w:w="859" w:type="dxa"/>
            <w:vAlign w:val="center"/>
          </w:tcPr>
          <w:p>
            <w:pPr>
              <w:jc w:val="center"/>
              <w:rPr>
                <w:rFonts w:hint="default" w:ascii="仿宋" w:hAnsi="仿宋" w:eastAsia="仿宋"/>
                <w:color w:val="auto"/>
                <w:sz w:val="24"/>
                <w:highlight w:val="none"/>
                <w:vertAlign w:val="baseline"/>
                <w:lang w:val="en-US" w:eastAsia="zh-CN"/>
              </w:rPr>
            </w:pPr>
            <w:r>
              <w:rPr>
                <w:rFonts w:hint="eastAsia" w:ascii="仿宋" w:hAnsi="仿宋" w:eastAsia="仿宋"/>
                <w:color w:val="auto"/>
                <w:sz w:val="24"/>
                <w:highlight w:val="none"/>
                <w:vertAlign w:val="baseline"/>
                <w:lang w:eastAsia="zh-CN"/>
              </w:rPr>
              <w:t>约</w:t>
            </w:r>
            <w:r>
              <w:rPr>
                <w:rFonts w:hint="eastAsia" w:ascii="仿宋" w:hAnsi="仿宋" w:eastAsia="仿宋"/>
                <w:color w:val="auto"/>
                <w:sz w:val="24"/>
                <w:highlight w:val="none"/>
                <w:vertAlign w:val="baseline"/>
                <w:lang w:val="en-US" w:eastAsia="zh-CN"/>
              </w:rPr>
              <w:t>6</w:t>
            </w:r>
          </w:p>
        </w:tc>
        <w:tc>
          <w:tcPr>
            <w:tcW w:w="1448" w:type="dxa"/>
            <w:vAlign w:val="center"/>
          </w:tcPr>
          <w:p>
            <w:pPr>
              <w:jc w:val="center"/>
              <w:rPr>
                <w:rFonts w:hint="default" w:ascii="仿宋" w:hAnsi="仿宋" w:eastAsia="仿宋"/>
                <w:color w:val="auto"/>
                <w:sz w:val="24"/>
                <w:highlight w:val="none"/>
                <w:vertAlign w:val="baseline"/>
                <w:lang w:val="en-US" w:eastAsia="zh-CN"/>
              </w:rPr>
            </w:pPr>
            <w:r>
              <w:rPr>
                <w:rFonts w:hint="eastAsia" w:ascii="仿宋" w:hAnsi="仿宋" w:eastAsia="仿宋"/>
                <w:color w:val="auto"/>
                <w:sz w:val="24"/>
                <w:highlight w:val="none"/>
                <w:vertAlign w:val="baseline"/>
                <w:lang w:val="en-US" w:eastAsia="zh-CN"/>
              </w:rPr>
              <w:t>7000元</w:t>
            </w:r>
          </w:p>
        </w:tc>
        <w:tc>
          <w:tcPr>
            <w:tcW w:w="1237" w:type="dxa"/>
            <w:vMerge w:val="continue"/>
            <w:vAlign w:val="center"/>
          </w:tcPr>
          <w:p>
            <w:pPr>
              <w:jc w:val="center"/>
              <w:rPr>
                <w:rFonts w:hint="eastAsia" w:ascii="仿宋" w:hAnsi="仿宋" w:eastAsia="仿宋"/>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jc w:val="center"/>
              <w:rPr>
                <w:rFonts w:hint="eastAsia" w:ascii="仿宋" w:hAnsi="仿宋" w:eastAsia="仿宋"/>
                <w:color w:val="auto"/>
                <w:sz w:val="24"/>
                <w:highlight w:val="none"/>
                <w:vertAlign w:val="baseline"/>
                <w:lang w:val="en-US" w:eastAsia="zh-CN"/>
              </w:rPr>
            </w:pPr>
            <w:r>
              <w:rPr>
                <w:rFonts w:hint="eastAsia" w:ascii="仿宋" w:hAnsi="仿宋" w:eastAsia="仿宋"/>
                <w:color w:val="auto"/>
                <w:sz w:val="24"/>
                <w:highlight w:val="none"/>
                <w:vertAlign w:val="baseline"/>
                <w:lang w:val="en-US" w:eastAsia="zh-CN"/>
              </w:rPr>
              <w:t>3</w:t>
            </w:r>
          </w:p>
        </w:tc>
        <w:tc>
          <w:tcPr>
            <w:tcW w:w="1496" w:type="dxa"/>
            <w:vAlign w:val="center"/>
          </w:tcPr>
          <w:p>
            <w:pPr>
              <w:jc w:val="left"/>
              <w:rPr>
                <w:rFonts w:hint="eastAsia" w:ascii="仿宋" w:hAnsi="仿宋" w:eastAsia="仿宋"/>
                <w:color w:val="auto"/>
                <w:sz w:val="21"/>
                <w:szCs w:val="21"/>
                <w:highlight w:val="none"/>
                <w:vertAlign w:val="baseline"/>
                <w:lang w:eastAsia="zh-CN"/>
              </w:rPr>
            </w:pPr>
            <w:r>
              <w:rPr>
                <w:rFonts w:hint="default" w:ascii="仿宋" w:hAnsi="仿宋" w:eastAsia="仿宋"/>
                <w:color w:val="auto"/>
                <w:sz w:val="21"/>
                <w:szCs w:val="21"/>
                <w:highlight w:val="none"/>
                <w:vertAlign w:val="baseline"/>
                <w:lang w:val="en-US" w:eastAsia="zh-CN"/>
              </w:rPr>
              <w:t>废化学试剂处置服务</w:t>
            </w:r>
          </w:p>
        </w:tc>
        <w:tc>
          <w:tcPr>
            <w:tcW w:w="1861" w:type="dxa"/>
          </w:tcPr>
          <w:p>
            <w:pPr>
              <w:jc w:val="left"/>
              <w:rPr>
                <w:rFonts w:hint="eastAsia" w:ascii="仿宋" w:hAnsi="仿宋" w:eastAsia="仿宋"/>
                <w:color w:val="auto"/>
                <w:sz w:val="21"/>
                <w:szCs w:val="21"/>
                <w:highlight w:val="none"/>
                <w:vertAlign w:val="baseline"/>
              </w:rPr>
            </w:pPr>
            <w:r>
              <w:rPr>
                <w:rFonts w:hint="eastAsia" w:ascii="仿宋" w:hAnsi="仿宋" w:eastAsia="仿宋"/>
                <w:color w:val="auto"/>
                <w:sz w:val="21"/>
                <w:szCs w:val="21"/>
                <w:highlight w:val="none"/>
                <w:vertAlign w:val="baseline"/>
              </w:rPr>
              <w:t>过期或失效的化学和生物制剂的处置</w:t>
            </w:r>
          </w:p>
        </w:tc>
        <w:tc>
          <w:tcPr>
            <w:tcW w:w="610" w:type="dxa"/>
            <w:vAlign w:val="center"/>
          </w:tcPr>
          <w:p>
            <w:pPr>
              <w:keepNext w:val="0"/>
              <w:keepLines w:val="0"/>
              <w:widowControl/>
              <w:suppressLineNumbers w:val="0"/>
              <w:jc w:val="center"/>
              <w:textAlignment w:val="center"/>
              <w:rPr>
                <w:rFonts w:hint="eastAsia" w:ascii="仿宋" w:hAnsi="仿宋" w:eastAsia="仿宋"/>
                <w:b w:val="0"/>
                <w:bCs w:val="0"/>
                <w:color w:val="auto"/>
                <w:sz w:val="21"/>
                <w:szCs w:val="21"/>
                <w:highlight w:val="none"/>
                <w:vertAlign w:val="baseline"/>
              </w:rPr>
            </w:pPr>
            <w:r>
              <w:rPr>
                <w:rFonts w:hint="eastAsia" w:ascii="仿宋_GB2312" w:hAnsi="宋体" w:eastAsia="仿宋_GB2312" w:cs="仿宋_GB2312"/>
                <w:b w:val="0"/>
                <w:bCs w:val="0"/>
                <w:i w:val="0"/>
                <w:iCs w:val="0"/>
                <w:color w:val="auto"/>
                <w:kern w:val="0"/>
                <w:sz w:val="21"/>
                <w:szCs w:val="21"/>
                <w:highlight w:val="none"/>
                <w:u w:val="none"/>
                <w:lang w:val="en-US" w:eastAsia="zh-CN" w:bidi="ar"/>
              </w:rPr>
              <w:t>吨</w:t>
            </w:r>
          </w:p>
        </w:tc>
        <w:tc>
          <w:tcPr>
            <w:tcW w:w="859" w:type="dxa"/>
            <w:vAlign w:val="center"/>
          </w:tcPr>
          <w:p>
            <w:pPr>
              <w:jc w:val="center"/>
              <w:rPr>
                <w:rFonts w:hint="default" w:ascii="仿宋" w:hAnsi="仿宋" w:eastAsia="仿宋"/>
                <w:color w:val="auto"/>
                <w:sz w:val="24"/>
                <w:highlight w:val="none"/>
                <w:vertAlign w:val="baseline"/>
                <w:lang w:val="en-US" w:eastAsia="zh-CN"/>
              </w:rPr>
            </w:pPr>
            <w:r>
              <w:rPr>
                <w:rFonts w:hint="eastAsia" w:ascii="仿宋" w:hAnsi="仿宋" w:eastAsia="仿宋"/>
                <w:color w:val="auto"/>
                <w:sz w:val="24"/>
                <w:highlight w:val="none"/>
                <w:vertAlign w:val="baseline"/>
                <w:lang w:eastAsia="zh-CN"/>
              </w:rPr>
              <w:t>约</w:t>
            </w:r>
            <w:r>
              <w:rPr>
                <w:rFonts w:hint="eastAsia" w:ascii="仿宋" w:hAnsi="仿宋" w:eastAsia="仿宋"/>
                <w:color w:val="auto"/>
                <w:sz w:val="24"/>
                <w:highlight w:val="none"/>
                <w:vertAlign w:val="baseline"/>
                <w:lang w:val="en-US" w:eastAsia="zh-CN"/>
              </w:rPr>
              <w:t>3</w:t>
            </w:r>
          </w:p>
        </w:tc>
        <w:tc>
          <w:tcPr>
            <w:tcW w:w="1448" w:type="dxa"/>
            <w:vAlign w:val="center"/>
          </w:tcPr>
          <w:p>
            <w:pPr>
              <w:jc w:val="center"/>
              <w:rPr>
                <w:rFonts w:hint="default" w:ascii="仿宋" w:hAnsi="仿宋" w:eastAsia="仿宋"/>
                <w:color w:val="auto"/>
                <w:sz w:val="24"/>
                <w:highlight w:val="none"/>
                <w:vertAlign w:val="baseline"/>
                <w:lang w:val="en-US" w:eastAsia="zh-CN"/>
              </w:rPr>
            </w:pPr>
            <w:r>
              <w:rPr>
                <w:rFonts w:hint="eastAsia" w:ascii="仿宋" w:hAnsi="仿宋" w:eastAsia="仿宋"/>
                <w:color w:val="auto"/>
                <w:sz w:val="24"/>
                <w:highlight w:val="none"/>
                <w:vertAlign w:val="baseline"/>
                <w:lang w:val="en-US" w:eastAsia="zh-CN"/>
              </w:rPr>
              <w:t>50000元</w:t>
            </w:r>
          </w:p>
        </w:tc>
        <w:tc>
          <w:tcPr>
            <w:tcW w:w="1237" w:type="dxa"/>
            <w:vMerge w:val="continue"/>
            <w:vAlign w:val="center"/>
          </w:tcPr>
          <w:p>
            <w:pPr>
              <w:jc w:val="center"/>
              <w:rPr>
                <w:rFonts w:hint="eastAsia" w:ascii="仿宋" w:hAnsi="仿宋" w:eastAsia="仿宋"/>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jc w:val="center"/>
              <w:rPr>
                <w:rFonts w:hint="eastAsia" w:ascii="仿宋" w:hAnsi="仿宋" w:eastAsia="仿宋"/>
                <w:color w:val="auto"/>
                <w:sz w:val="24"/>
                <w:highlight w:val="none"/>
                <w:vertAlign w:val="baseline"/>
                <w:lang w:val="en-US" w:eastAsia="zh-CN"/>
              </w:rPr>
            </w:pPr>
            <w:r>
              <w:rPr>
                <w:rFonts w:hint="eastAsia" w:ascii="仿宋" w:hAnsi="仿宋" w:eastAsia="仿宋"/>
                <w:color w:val="auto"/>
                <w:sz w:val="24"/>
                <w:highlight w:val="none"/>
                <w:vertAlign w:val="baseline"/>
                <w:lang w:val="en-US" w:eastAsia="zh-CN"/>
              </w:rPr>
              <w:t>4</w:t>
            </w:r>
          </w:p>
        </w:tc>
        <w:tc>
          <w:tcPr>
            <w:tcW w:w="1496" w:type="dxa"/>
            <w:vAlign w:val="center"/>
          </w:tcPr>
          <w:p>
            <w:pPr>
              <w:jc w:val="left"/>
              <w:rPr>
                <w:rFonts w:hint="eastAsia" w:ascii="仿宋" w:hAnsi="仿宋" w:eastAsia="仿宋"/>
                <w:color w:val="auto"/>
                <w:sz w:val="21"/>
                <w:szCs w:val="21"/>
                <w:highlight w:val="none"/>
                <w:vertAlign w:val="baseline"/>
                <w:lang w:eastAsia="zh-CN"/>
              </w:rPr>
            </w:pPr>
            <w:r>
              <w:rPr>
                <w:rFonts w:hint="default" w:ascii="仿宋" w:hAnsi="仿宋" w:eastAsia="仿宋"/>
                <w:color w:val="auto"/>
                <w:sz w:val="21"/>
                <w:szCs w:val="21"/>
                <w:highlight w:val="none"/>
                <w:vertAlign w:val="baseline"/>
                <w:lang w:val="en-US" w:eastAsia="zh-CN"/>
              </w:rPr>
              <w:t>实验室危废转移运输费</w:t>
            </w:r>
          </w:p>
        </w:tc>
        <w:tc>
          <w:tcPr>
            <w:tcW w:w="1861" w:type="dxa"/>
          </w:tcPr>
          <w:p>
            <w:pPr>
              <w:jc w:val="left"/>
              <w:rPr>
                <w:rFonts w:hint="eastAsia" w:ascii="仿宋" w:hAnsi="仿宋" w:eastAsia="仿宋"/>
                <w:color w:val="auto"/>
                <w:sz w:val="21"/>
                <w:szCs w:val="21"/>
                <w:highlight w:val="none"/>
                <w:vertAlign w:val="baseline"/>
              </w:rPr>
            </w:pPr>
            <w:r>
              <w:rPr>
                <w:rFonts w:hint="eastAsia" w:ascii="仿宋" w:hAnsi="仿宋" w:eastAsia="仿宋"/>
                <w:color w:val="auto"/>
                <w:sz w:val="21"/>
                <w:szCs w:val="21"/>
                <w:highlight w:val="none"/>
                <w:vertAlign w:val="baseline"/>
              </w:rPr>
              <w:t>主要包括将实验室内产生的实验室废弃物转运至中标单位危废暂存点所产生的运输费。</w:t>
            </w:r>
          </w:p>
          <w:p>
            <w:pPr>
              <w:jc w:val="left"/>
              <w:rPr>
                <w:rFonts w:hint="eastAsia" w:ascii="仿宋" w:hAnsi="仿宋" w:eastAsia="仿宋"/>
                <w:color w:val="auto"/>
                <w:sz w:val="21"/>
                <w:szCs w:val="21"/>
                <w:highlight w:val="none"/>
                <w:vertAlign w:val="baseline"/>
                <w:lang w:eastAsia="zh-CN"/>
              </w:rPr>
            </w:pPr>
            <w:r>
              <w:rPr>
                <w:rFonts w:hint="eastAsia" w:ascii="仿宋" w:hAnsi="仿宋" w:eastAsia="仿宋"/>
                <w:color w:val="auto"/>
                <w:sz w:val="21"/>
                <w:szCs w:val="21"/>
                <w:highlight w:val="none"/>
                <w:vertAlign w:val="baseline"/>
              </w:rPr>
              <w:t>正常情况下每两周运输1次，特殊情况下可协调适当增加运输次数。</w:t>
            </w:r>
          </w:p>
        </w:tc>
        <w:tc>
          <w:tcPr>
            <w:tcW w:w="610" w:type="dxa"/>
            <w:vAlign w:val="center"/>
          </w:tcPr>
          <w:p>
            <w:pPr>
              <w:keepNext w:val="0"/>
              <w:keepLines w:val="0"/>
              <w:widowControl/>
              <w:suppressLineNumbers w:val="0"/>
              <w:jc w:val="center"/>
              <w:textAlignment w:val="center"/>
              <w:rPr>
                <w:rFonts w:hint="eastAsia" w:ascii="仿宋" w:hAnsi="仿宋" w:eastAsia="仿宋"/>
                <w:b w:val="0"/>
                <w:bCs w:val="0"/>
                <w:color w:val="auto"/>
                <w:sz w:val="21"/>
                <w:szCs w:val="21"/>
                <w:highlight w:val="none"/>
                <w:vertAlign w:val="baseline"/>
              </w:rPr>
            </w:pPr>
            <w:r>
              <w:rPr>
                <w:rFonts w:hint="eastAsia" w:ascii="仿宋_GB2312" w:hAnsi="宋体" w:eastAsia="仿宋_GB2312" w:cs="仿宋_GB2312"/>
                <w:b w:val="0"/>
                <w:bCs w:val="0"/>
                <w:i w:val="0"/>
                <w:iCs w:val="0"/>
                <w:color w:val="auto"/>
                <w:kern w:val="0"/>
                <w:sz w:val="21"/>
                <w:szCs w:val="21"/>
                <w:highlight w:val="none"/>
                <w:u w:val="none"/>
                <w:lang w:val="en-US" w:eastAsia="zh-CN" w:bidi="ar"/>
              </w:rPr>
              <w:t>次</w:t>
            </w:r>
          </w:p>
        </w:tc>
        <w:tc>
          <w:tcPr>
            <w:tcW w:w="859" w:type="dxa"/>
            <w:vAlign w:val="center"/>
          </w:tcPr>
          <w:p>
            <w:pPr>
              <w:jc w:val="center"/>
              <w:rPr>
                <w:rFonts w:hint="default" w:ascii="仿宋" w:hAnsi="仿宋" w:eastAsia="仿宋"/>
                <w:color w:val="auto"/>
                <w:sz w:val="24"/>
                <w:highlight w:val="none"/>
                <w:vertAlign w:val="baseline"/>
                <w:lang w:val="en-US" w:eastAsia="zh-CN"/>
              </w:rPr>
            </w:pPr>
            <w:r>
              <w:rPr>
                <w:rFonts w:hint="eastAsia" w:ascii="仿宋" w:hAnsi="仿宋" w:eastAsia="仿宋"/>
                <w:color w:val="auto"/>
                <w:sz w:val="24"/>
                <w:highlight w:val="none"/>
                <w:vertAlign w:val="baseline"/>
                <w:lang w:val="en-US" w:eastAsia="zh-CN"/>
              </w:rPr>
              <w:t>至少</w:t>
            </w:r>
            <w:r>
              <w:rPr>
                <w:rFonts w:hint="eastAsia" w:ascii="仿宋" w:hAnsi="仿宋" w:eastAsia="仿宋"/>
                <w:color w:val="auto"/>
                <w:sz w:val="24"/>
                <w:highlight w:val="none"/>
                <w:vertAlign w:val="baseline"/>
                <w:lang w:val="en-US" w:eastAsia="zh-CN"/>
              </w:rPr>
              <w:t>20</w:t>
            </w:r>
          </w:p>
        </w:tc>
        <w:tc>
          <w:tcPr>
            <w:tcW w:w="1448" w:type="dxa"/>
            <w:vAlign w:val="center"/>
          </w:tcPr>
          <w:p>
            <w:pPr>
              <w:jc w:val="center"/>
              <w:rPr>
                <w:rFonts w:hint="default" w:ascii="仿宋" w:hAnsi="仿宋" w:eastAsia="仿宋"/>
                <w:color w:val="auto"/>
                <w:sz w:val="24"/>
                <w:highlight w:val="none"/>
                <w:vertAlign w:val="baseline"/>
                <w:lang w:val="en-US" w:eastAsia="zh-CN"/>
              </w:rPr>
            </w:pPr>
            <w:r>
              <w:rPr>
                <w:rFonts w:hint="eastAsia" w:ascii="仿宋" w:hAnsi="仿宋" w:eastAsia="仿宋"/>
                <w:color w:val="auto"/>
                <w:sz w:val="24"/>
                <w:highlight w:val="none"/>
                <w:vertAlign w:val="baseline"/>
                <w:lang w:val="en-US" w:eastAsia="zh-CN"/>
              </w:rPr>
              <w:t>600</w:t>
            </w:r>
          </w:p>
        </w:tc>
        <w:tc>
          <w:tcPr>
            <w:tcW w:w="1237" w:type="dxa"/>
            <w:vAlign w:val="center"/>
          </w:tcPr>
          <w:p>
            <w:pPr>
              <w:jc w:val="center"/>
              <w:rPr>
                <w:rFonts w:hint="default" w:ascii="仿宋" w:hAnsi="仿宋" w:eastAsia="仿宋"/>
                <w:color w:val="auto"/>
                <w:sz w:val="24"/>
                <w:highlight w:val="none"/>
                <w:vertAlign w:val="baseline"/>
                <w:lang w:val="en-US" w:eastAsia="zh-CN"/>
              </w:rPr>
            </w:pPr>
            <w:r>
              <w:rPr>
                <w:rFonts w:hint="eastAsia" w:ascii="仿宋" w:hAnsi="仿宋" w:eastAsia="仿宋"/>
                <w:color w:val="auto"/>
                <w:sz w:val="24"/>
                <w:highlight w:val="none"/>
                <w:vertAlign w:val="baseline"/>
                <w:lang w:val="en-US" w:eastAsia="zh-CN"/>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jc w:val="center"/>
              <w:rPr>
                <w:rFonts w:hint="eastAsia" w:ascii="仿宋" w:hAnsi="仿宋" w:eastAsia="仿宋"/>
                <w:color w:val="auto"/>
                <w:sz w:val="24"/>
                <w:highlight w:val="none"/>
                <w:vertAlign w:val="baseline"/>
                <w:lang w:val="en-US" w:eastAsia="zh-CN"/>
              </w:rPr>
            </w:pPr>
            <w:r>
              <w:rPr>
                <w:rFonts w:hint="eastAsia" w:ascii="仿宋" w:hAnsi="仿宋" w:eastAsia="仿宋"/>
                <w:color w:val="auto"/>
                <w:sz w:val="24"/>
                <w:highlight w:val="none"/>
                <w:vertAlign w:val="baseline"/>
                <w:lang w:val="en-US" w:eastAsia="zh-CN"/>
              </w:rPr>
              <w:t>5</w:t>
            </w:r>
          </w:p>
        </w:tc>
        <w:tc>
          <w:tcPr>
            <w:tcW w:w="1496" w:type="dxa"/>
            <w:vAlign w:val="center"/>
          </w:tcPr>
          <w:p>
            <w:pPr>
              <w:jc w:val="left"/>
              <w:rPr>
                <w:rFonts w:hint="eastAsia" w:ascii="仿宋" w:hAnsi="仿宋" w:eastAsia="仿宋"/>
                <w:color w:val="auto"/>
                <w:sz w:val="21"/>
                <w:szCs w:val="21"/>
                <w:highlight w:val="none"/>
                <w:vertAlign w:val="baseline"/>
                <w:lang w:eastAsia="zh-CN"/>
              </w:rPr>
            </w:pPr>
            <w:r>
              <w:rPr>
                <w:rFonts w:hint="default" w:ascii="仿宋" w:hAnsi="仿宋" w:eastAsia="仿宋"/>
                <w:color w:val="auto"/>
                <w:sz w:val="21"/>
                <w:szCs w:val="21"/>
                <w:highlight w:val="none"/>
                <w:vertAlign w:val="baseline"/>
                <w:lang w:val="en-US" w:eastAsia="zh-CN"/>
              </w:rPr>
              <w:t>浙江省固体废物监管信息系统的管理服务</w:t>
            </w:r>
          </w:p>
        </w:tc>
        <w:tc>
          <w:tcPr>
            <w:tcW w:w="1861" w:type="dxa"/>
          </w:tcPr>
          <w:p>
            <w:pPr>
              <w:jc w:val="left"/>
              <w:rPr>
                <w:rFonts w:hint="eastAsia" w:ascii="仿宋" w:hAnsi="仿宋" w:eastAsia="仿宋"/>
                <w:color w:val="auto"/>
                <w:sz w:val="21"/>
                <w:szCs w:val="21"/>
                <w:highlight w:val="none"/>
                <w:vertAlign w:val="baseline"/>
              </w:rPr>
            </w:pPr>
            <w:r>
              <w:rPr>
                <w:rFonts w:hint="eastAsia" w:ascii="仿宋" w:hAnsi="仿宋" w:eastAsia="仿宋"/>
                <w:color w:val="auto"/>
                <w:sz w:val="21"/>
                <w:szCs w:val="21"/>
                <w:highlight w:val="none"/>
                <w:vertAlign w:val="baseline"/>
              </w:rPr>
              <w:t>负责湖州师范学院在浙江省固体废物监管信息系统的相关管理服务，包括联单填报、年度计划、信息填报上传、系统更新维护；以及危废转运现场指导与服务等。</w:t>
            </w:r>
          </w:p>
        </w:tc>
        <w:tc>
          <w:tcPr>
            <w:tcW w:w="610" w:type="dxa"/>
            <w:vAlign w:val="center"/>
          </w:tcPr>
          <w:p>
            <w:pPr>
              <w:keepNext w:val="0"/>
              <w:keepLines w:val="0"/>
              <w:widowControl/>
              <w:suppressLineNumbers w:val="0"/>
              <w:jc w:val="center"/>
              <w:textAlignment w:val="center"/>
              <w:rPr>
                <w:rFonts w:hint="eastAsia" w:ascii="仿宋" w:hAnsi="仿宋" w:eastAsia="仿宋"/>
                <w:b w:val="0"/>
                <w:bCs w:val="0"/>
                <w:color w:val="auto"/>
                <w:sz w:val="21"/>
                <w:szCs w:val="21"/>
                <w:highlight w:val="none"/>
                <w:vertAlign w:val="baseline"/>
              </w:rPr>
            </w:pPr>
            <w:r>
              <w:rPr>
                <w:rFonts w:hint="default" w:ascii="仿宋_GB2312" w:hAnsi="宋体" w:eastAsia="仿宋_GB2312" w:cs="仿宋_GB2312"/>
                <w:b w:val="0"/>
                <w:bCs w:val="0"/>
                <w:i w:val="0"/>
                <w:iCs w:val="0"/>
                <w:color w:val="auto"/>
                <w:kern w:val="0"/>
                <w:sz w:val="21"/>
                <w:szCs w:val="21"/>
                <w:highlight w:val="none"/>
                <w:u w:val="none"/>
                <w:lang w:val="en-US" w:eastAsia="zh-CN" w:bidi="ar"/>
              </w:rPr>
              <w:t>年</w:t>
            </w:r>
          </w:p>
        </w:tc>
        <w:tc>
          <w:tcPr>
            <w:tcW w:w="859" w:type="dxa"/>
            <w:vAlign w:val="center"/>
          </w:tcPr>
          <w:p>
            <w:pPr>
              <w:jc w:val="center"/>
              <w:rPr>
                <w:rFonts w:hint="eastAsia" w:ascii="仿宋" w:hAnsi="仿宋" w:eastAsia="仿宋"/>
                <w:color w:val="auto"/>
                <w:sz w:val="24"/>
                <w:highlight w:val="none"/>
                <w:vertAlign w:val="baseline"/>
                <w:lang w:val="en-US" w:eastAsia="zh-CN"/>
              </w:rPr>
            </w:pPr>
            <w:r>
              <w:rPr>
                <w:rFonts w:hint="eastAsia" w:ascii="仿宋" w:hAnsi="仿宋" w:eastAsia="仿宋"/>
                <w:color w:val="auto"/>
                <w:sz w:val="24"/>
                <w:highlight w:val="none"/>
                <w:vertAlign w:val="baseline"/>
                <w:lang w:val="en-US" w:eastAsia="zh-CN"/>
              </w:rPr>
              <w:t>1</w:t>
            </w:r>
          </w:p>
        </w:tc>
        <w:tc>
          <w:tcPr>
            <w:tcW w:w="1448" w:type="dxa"/>
            <w:vAlign w:val="center"/>
          </w:tcPr>
          <w:p>
            <w:pPr>
              <w:jc w:val="center"/>
              <w:rPr>
                <w:rFonts w:hint="default" w:ascii="仿宋" w:hAnsi="仿宋" w:eastAsia="仿宋"/>
                <w:color w:val="auto"/>
                <w:sz w:val="24"/>
                <w:highlight w:val="none"/>
                <w:vertAlign w:val="baseline"/>
                <w:lang w:val="en-US" w:eastAsia="zh-CN"/>
              </w:rPr>
            </w:pPr>
            <w:r>
              <w:rPr>
                <w:rFonts w:hint="eastAsia" w:ascii="仿宋" w:hAnsi="仿宋" w:eastAsia="仿宋"/>
                <w:color w:val="auto"/>
                <w:sz w:val="24"/>
                <w:highlight w:val="none"/>
                <w:vertAlign w:val="baseline"/>
                <w:lang w:val="en-US" w:eastAsia="zh-CN"/>
              </w:rPr>
              <w:t>8000</w:t>
            </w:r>
          </w:p>
        </w:tc>
        <w:tc>
          <w:tcPr>
            <w:tcW w:w="1237" w:type="dxa"/>
            <w:vAlign w:val="center"/>
          </w:tcPr>
          <w:p>
            <w:pPr>
              <w:jc w:val="center"/>
              <w:rPr>
                <w:rFonts w:hint="default" w:ascii="仿宋" w:hAnsi="仿宋" w:eastAsia="仿宋"/>
                <w:color w:val="auto"/>
                <w:sz w:val="24"/>
                <w:highlight w:val="none"/>
                <w:vertAlign w:val="baseline"/>
                <w:lang w:val="en-US" w:eastAsia="zh-CN"/>
              </w:rPr>
            </w:pPr>
            <w:r>
              <w:rPr>
                <w:rFonts w:hint="eastAsia" w:ascii="仿宋" w:hAnsi="仿宋" w:eastAsia="仿宋"/>
                <w:color w:val="auto"/>
                <w:sz w:val="24"/>
                <w:highlight w:val="none"/>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jc w:val="center"/>
              <w:rPr>
                <w:rFonts w:hint="default" w:ascii="仿宋" w:hAnsi="仿宋" w:eastAsia="仿宋"/>
                <w:color w:val="auto"/>
                <w:sz w:val="24"/>
                <w:highlight w:val="none"/>
                <w:vertAlign w:val="baseline"/>
                <w:lang w:val="en-US" w:eastAsia="zh-CN"/>
              </w:rPr>
            </w:pPr>
            <w:r>
              <w:rPr>
                <w:rFonts w:hint="eastAsia" w:ascii="仿宋" w:hAnsi="仿宋" w:eastAsia="仿宋"/>
                <w:color w:val="auto"/>
                <w:sz w:val="24"/>
                <w:highlight w:val="none"/>
                <w:vertAlign w:val="baseline"/>
                <w:lang w:val="en-US" w:eastAsia="zh-CN"/>
              </w:rPr>
              <w:t>6</w:t>
            </w:r>
          </w:p>
        </w:tc>
        <w:tc>
          <w:tcPr>
            <w:tcW w:w="1496" w:type="dxa"/>
            <w:vAlign w:val="center"/>
          </w:tcPr>
          <w:p>
            <w:pPr>
              <w:jc w:val="left"/>
              <w:rPr>
                <w:rFonts w:hint="eastAsia" w:ascii="仿宋" w:hAnsi="仿宋" w:eastAsia="仿宋"/>
                <w:color w:val="auto"/>
                <w:sz w:val="21"/>
                <w:szCs w:val="21"/>
                <w:highlight w:val="none"/>
                <w:vertAlign w:val="baseline"/>
                <w:lang w:eastAsia="zh-CN"/>
              </w:rPr>
            </w:pPr>
            <w:r>
              <w:rPr>
                <w:rFonts w:hint="default" w:ascii="仿宋" w:hAnsi="仿宋" w:eastAsia="仿宋"/>
                <w:color w:val="auto"/>
                <w:sz w:val="21"/>
                <w:szCs w:val="21"/>
                <w:highlight w:val="none"/>
                <w:vertAlign w:val="baseline"/>
                <w:lang w:val="en-US" w:eastAsia="zh-CN"/>
              </w:rPr>
              <w:t>实验室危废收运贮处一体化系统管理服务费</w:t>
            </w:r>
          </w:p>
        </w:tc>
        <w:tc>
          <w:tcPr>
            <w:tcW w:w="1861" w:type="dxa"/>
          </w:tcPr>
          <w:p>
            <w:pPr>
              <w:jc w:val="left"/>
              <w:rPr>
                <w:rFonts w:hint="eastAsia" w:ascii="仿宋" w:hAnsi="仿宋" w:eastAsia="仿宋"/>
                <w:color w:val="auto"/>
                <w:sz w:val="21"/>
                <w:szCs w:val="21"/>
                <w:highlight w:val="none"/>
                <w:vertAlign w:val="baseline"/>
              </w:rPr>
            </w:pPr>
            <w:r>
              <w:rPr>
                <w:rFonts w:hint="eastAsia" w:ascii="仿宋" w:hAnsi="仿宋" w:eastAsia="仿宋"/>
                <w:color w:val="auto"/>
                <w:sz w:val="21"/>
                <w:szCs w:val="21"/>
                <w:highlight w:val="none"/>
                <w:vertAlign w:val="baseline"/>
              </w:rPr>
              <w:t>主要包括承担转运服务项目内容内的废弃物搬运、装车服务，转存地的场地费、人工费、设备费、管理费等，还包含提供相应的技术及服务支撑等。</w:t>
            </w:r>
          </w:p>
        </w:tc>
        <w:tc>
          <w:tcPr>
            <w:tcW w:w="610" w:type="dxa"/>
            <w:vAlign w:val="center"/>
          </w:tcPr>
          <w:p>
            <w:pPr>
              <w:keepNext w:val="0"/>
              <w:keepLines w:val="0"/>
              <w:widowControl/>
              <w:suppressLineNumbers w:val="0"/>
              <w:jc w:val="center"/>
              <w:textAlignment w:val="center"/>
              <w:rPr>
                <w:rFonts w:hint="eastAsia" w:ascii="仿宋" w:hAnsi="仿宋" w:eastAsia="仿宋"/>
                <w:b w:val="0"/>
                <w:bCs w:val="0"/>
                <w:color w:val="auto"/>
                <w:sz w:val="21"/>
                <w:szCs w:val="21"/>
                <w:highlight w:val="none"/>
                <w:vertAlign w:val="baseline"/>
              </w:rPr>
            </w:pPr>
            <w:r>
              <w:rPr>
                <w:rFonts w:hint="eastAsia" w:ascii="仿宋_GB2312" w:hAnsi="宋体" w:eastAsia="仿宋_GB2312" w:cs="仿宋_GB2312"/>
                <w:b w:val="0"/>
                <w:bCs w:val="0"/>
                <w:i w:val="0"/>
                <w:iCs w:val="0"/>
                <w:color w:val="auto"/>
                <w:kern w:val="0"/>
                <w:sz w:val="21"/>
                <w:szCs w:val="21"/>
                <w:highlight w:val="none"/>
                <w:u w:val="none"/>
                <w:lang w:val="en-US" w:eastAsia="zh-CN" w:bidi="ar"/>
              </w:rPr>
              <w:t>年</w:t>
            </w:r>
          </w:p>
        </w:tc>
        <w:tc>
          <w:tcPr>
            <w:tcW w:w="859" w:type="dxa"/>
            <w:vAlign w:val="center"/>
          </w:tcPr>
          <w:p>
            <w:pPr>
              <w:jc w:val="center"/>
              <w:rPr>
                <w:rFonts w:hint="eastAsia" w:ascii="仿宋" w:hAnsi="仿宋" w:eastAsia="仿宋"/>
                <w:color w:val="auto"/>
                <w:sz w:val="24"/>
                <w:highlight w:val="none"/>
                <w:vertAlign w:val="baseline"/>
                <w:lang w:val="en-US" w:eastAsia="zh-CN"/>
              </w:rPr>
            </w:pPr>
            <w:r>
              <w:rPr>
                <w:rFonts w:hint="eastAsia" w:ascii="仿宋" w:hAnsi="仿宋" w:eastAsia="仿宋"/>
                <w:color w:val="auto"/>
                <w:sz w:val="24"/>
                <w:highlight w:val="none"/>
                <w:vertAlign w:val="baseline"/>
                <w:lang w:val="en-US" w:eastAsia="zh-CN"/>
              </w:rPr>
              <w:t>1</w:t>
            </w:r>
          </w:p>
        </w:tc>
        <w:tc>
          <w:tcPr>
            <w:tcW w:w="1448" w:type="dxa"/>
            <w:vAlign w:val="center"/>
          </w:tcPr>
          <w:p>
            <w:pPr>
              <w:jc w:val="center"/>
              <w:rPr>
                <w:rFonts w:hint="default" w:ascii="仿宋" w:hAnsi="仿宋" w:eastAsia="仿宋"/>
                <w:color w:val="auto"/>
                <w:sz w:val="24"/>
                <w:highlight w:val="none"/>
                <w:vertAlign w:val="baseline"/>
                <w:lang w:val="en-US" w:eastAsia="zh-CN"/>
              </w:rPr>
            </w:pPr>
            <w:r>
              <w:rPr>
                <w:rFonts w:hint="eastAsia" w:ascii="仿宋" w:hAnsi="仿宋" w:eastAsia="仿宋"/>
                <w:color w:val="auto"/>
                <w:sz w:val="24"/>
                <w:highlight w:val="none"/>
                <w:vertAlign w:val="baseline"/>
                <w:lang w:val="en-US" w:eastAsia="zh-CN"/>
              </w:rPr>
              <w:t>60000</w:t>
            </w:r>
          </w:p>
        </w:tc>
        <w:tc>
          <w:tcPr>
            <w:tcW w:w="1237" w:type="dxa"/>
            <w:vAlign w:val="center"/>
          </w:tcPr>
          <w:p>
            <w:pPr>
              <w:jc w:val="center"/>
              <w:rPr>
                <w:rFonts w:hint="default" w:ascii="仿宋" w:hAnsi="仿宋" w:eastAsia="仿宋"/>
                <w:color w:val="auto"/>
                <w:sz w:val="24"/>
                <w:highlight w:val="none"/>
                <w:vertAlign w:val="baseline"/>
                <w:lang w:val="en-US" w:eastAsia="zh-CN"/>
              </w:rPr>
            </w:pPr>
            <w:r>
              <w:rPr>
                <w:rFonts w:hint="eastAsia" w:ascii="仿宋" w:hAnsi="仿宋" w:eastAsia="仿宋"/>
                <w:color w:val="auto"/>
                <w:sz w:val="24"/>
                <w:highlight w:val="none"/>
                <w:vertAlign w:val="baseline"/>
                <w:lang w:val="en-US" w:eastAsia="zh-CN"/>
              </w:rPr>
              <w:t>60000</w:t>
            </w:r>
          </w:p>
        </w:tc>
      </w:tr>
    </w:tbl>
    <w:p>
      <w:pPr>
        <w:ind w:firstLine="480" w:firstLineChars="200"/>
        <w:jc w:val="left"/>
        <w:rPr>
          <w:rFonts w:hint="eastAsia" w:ascii="仿宋" w:hAnsi="仿宋" w:eastAsia="仿宋"/>
          <w:color w:val="auto"/>
          <w:sz w:val="24"/>
          <w:highlight w:val="none"/>
        </w:rPr>
      </w:pPr>
    </w:p>
    <w:p>
      <w:pPr>
        <w:ind w:firstLine="482" w:firstLineChars="200"/>
        <w:jc w:val="left"/>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注1：</w:t>
      </w: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采购预算为最高限价，投标人报价超出采购预算为无效报价。</w:t>
      </w:r>
    </w:p>
    <w:p>
      <w:pPr>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注</w:t>
      </w:r>
      <w:r>
        <w:rPr>
          <w:rFonts w:hint="eastAsia" w:ascii="仿宋" w:hAnsi="仿宋" w:eastAsia="仿宋"/>
          <w:b/>
          <w:color w:val="auto"/>
          <w:sz w:val="24"/>
          <w:szCs w:val="24"/>
          <w:highlight w:val="none"/>
          <w:lang w:val="en-US" w:eastAsia="zh-CN"/>
        </w:rPr>
        <w:t>2</w:t>
      </w:r>
      <w:r>
        <w:rPr>
          <w:rFonts w:hint="eastAsia" w:ascii="仿宋" w:hAnsi="仿宋" w:eastAsia="仿宋"/>
          <w:b/>
          <w:color w:val="auto"/>
          <w:sz w:val="24"/>
          <w:szCs w:val="24"/>
          <w:highlight w:val="none"/>
        </w:rPr>
        <w:t>：本项目采购预算包含</w:t>
      </w:r>
      <w:r>
        <w:rPr>
          <w:rFonts w:hint="eastAsia" w:ascii="仿宋" w:hAnsi="仿宋" w:eastAsia="仿宋"/>
          <w:b/>
          <w:color w:val="auto"/>
          <w:sz w:val="24"/>
          <w:szCs w:val="24"/>
          <w:highlight w:val="none"/>
          <w:lang w:eastAsia="zh-CN"/>
        </w:rPr>
        <w:t>运输、存储、处置</w:t>
      </w:r>
      <w:r>
        <w:rPr>
          <w:rFonts w:hint="eastAsia" w:ascii="仿宋" w:hAnsi="仿宋" w:eastAsia="仿宋"/>
          <w:b/>
          <w:color w:val="auto"/>
          <w:sz w:val="24"/>
          <w:szCs w:val="24"/>
          <w:highlight w:val="none"/>
        </w:rPr>
        <w:t>、</w:t>
      </w:r>
      <w:r>
        <w:rPr>
          <w:rFonts w:hint="eastAsia" w:ascii="仿宋" w:hAnsi="仿宋" w:eastAsia="仿宋"/>
          <w:b/>
          <w:color w:val="auto"/>
          <w:sz w:val="24"/>
          <w:szCs w:val="24"/>
          <w:highlight w:val="none"/>
          <w:lang w:eastAsia="zh-CN"/>
        </w:rPr>
        <w:t>系统管理、</w:t>
      </w:r>
      <w:r>
        <w:rPr>
          <w:rFonts w:hint="eastAsia" w:ascii="仿宋" w:hAnsi="仿宋" w:eastAsia="仿宋"/>
          <w:b/>
          <w:color w:val="auto"/>
          <w:sz w:val="24"/>
          <w:szCs w:val="24"/>
          <w:highlight w:val="none"/>
        </w:rPr>
        <w:t>验收、材料、人工、安全、税金等所涉及本项目的一切费用。</w:t>
      </w:r>
    </w:p>
    <w:p>
      <w:pPr>
        <w:ind w:firstLine="472" w:firstLineChars="196"/>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二、投标文件要求</w:t>
      </w:r>
    </w:p>
    <w:p>
      <w:pPr>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投标人的投标文件中应包含以下内容</w:t>
      </w:r>
      <w:r>
        <w:rPr>
          <w:rFonts w:hint="eastAsia" w:ascii="仿宋" w:hAnsi="仿宋" w:eastAsia="仿宋"/>
          <w:color w:val="auto"/>
          <w:sz w:val="24"/>
          <w:highlight w:val="none"/>
        </w:rPr>
        <w:t>（</w:t>
      </w:r>
      <w:r>
        <w:rPr>
          <w:rFonts w:hint="eastAsia" w:ascii="仿宋" w:hAnsi="仿宋" w:eastAsia="仿宋"/>
          <w:color w:val="auto"/>
          <w:sz w:val="24"/>
          <w:highlight w:val="none"/>
        </w:rPr>
        <w:t>投标文件密封，一式两份，一正一副，胶装成册。所有证件均须真实、有效，复印件均须加盖公章，缺少以下任意一项内容即作无效标处理</w:t>
      </w:r>
      <w:r>
        <w:rPr>
          <w:rFonts w:hint="eastAsia" w:ascii="仿宋" w:hAnsi="仿宋" w:eastAsia="仿宋"/>
          <w:color w:val="auto"/>
          <w:sz w:val="24"/>
          <w:highlight w:val="none"/>
        </w:rPr>
        <w:t>）</w:t>
      </w:r>
      <w:r>
        <w:rPr>
          <w:rFonts w:hint="eastAsia" w:ascii="仿宋" w:hAnsi="仿宋" w:eastAsia="仿宋"/>
          <w:color w:val="auto"/>
          <w:sz w:val="24"/>
          <w:szCs w:val="24"/>
          <w:highlight w:val="none"/>
        </w:rPr>
        <w:t>：</w:t>
      </w:r>
    </w:p>
    <w:p>
      <w:pPr>
        <w:ind w:firstLine="480" w:firstLineChars="200"/>
        <w:jc w:val="left"/>
        <w:rPr>
          <w:rFonts w:ascii="仿宋" w:hAnsi="仿宋" w:eastAsia="仿宋"/>
          <w:b/>
          <w:strike w:val="0"/>
          <w:dstrike/>
          <w:color w:val="auto"/>
          <w:sz w:val="24"/>
          <w:szCs w:val="24"/>
          <w:highlight w:val="none"/>
        </w:rPr>
      </w:pPr>
      <w:r>
        <w:rPr>
          <w:rFonts w:hint="eastAsia" w:ascii="仿宋" w:hAnsi="仿宋" w:eastAsia="仿宋"/>
          <w:color w:val="auto"/>
          <w:sz w:val="24"/>
          <w:szCs w:val="24"/>
          <w:highlight w:val="none"/>
        </w:rPr>
        <w:t>1.投标报价清单(</w:t>
      </w:r>
      <w:r>
        <w:rPr>
          <w:rFonts w:hint="eastAsia" w:ascii="仿宋" w:hAnsi="仿宋" w:eastAsia="仿宋"/>
          <w:color w:val="auto"/>
          <w:sz w:val="24"/>
          <w:szCs w:val="24"/>
          <w:highlight w:val="none"/>
          <w:lang w:eastAsia="zh-CN"/>
        </w:rPr>
        <w:t>运输、存储、处置</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eastAsia="zh-CN"/>
        </w:rPr>
        <w:t>系统管理、</w:t>
      </w:r>
      <w:r>
        <w:rPr>
          <w:rFonts w:hint="eastAsia" w:ascii="仿宋" w:hAnsi="仿宋" w:eastAsia="仿宋"/>
          <w:color w:val="auto"/>
          <w:sz w:val="24"/>
          <w:szCs w:val="24"/>
          <w:highlight w:val="none"/>
        </w:rPr>
        <w:t>验收、材料、人工、安全、税金等所涉及本项目的一切费用。投标报价高于采购预算</w:t>
      </w:r>
      <w:r>
        <w:rPr>
          <w:rFonts w:hint="eastAsia" w:ascii="仿宋" w:hAnsi="仿宋" w:eastAsia="仿宋"/>
          <w:color w:val="auto"/>
          <w:sz w:val="24"/>
          <w:szCs w:val="24"/>
          <w:highlight w:val="none"/>
          <w:lang w:eastAsia="zh-CN"/>
        </w:rPr>
        <w:t>或者单价超过限价的</w:t>
      </w:r>
      <w:r>
        <w:rPr>
          <w:rFonts w:hint="eastAsia" w:ascii="仿宋" w:hAnsi="仿宋" w:eastAsia="仿宋"/>
          <w:color w:val="auto"/>
          <w:sz w:val="24"/>
          <w:szCs w:val="24"/>
          <w:highlight w:val="none"/>
        </w:rPr>
        <w:t>，则该报价为无效报价。报价以人民币计，并以大写为准)。</w:t>
      </w:r>
    </w:p>
    <w:p>
      <w:pPr>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.有效的五证合一营业执照副本复印件；</w:t>
      </w:r>
    </w:p>
    <w:p>
      <w:pPr>
        <w:ind w:firstLine="480" w:firstLineChars="200"/>
        <w:jc w:val="left"/>
        <w:rPr>
          <w:rFonts w:ascii="仿宋" w:hAnsi="仿宋" w:eastAsia="仿宋"/>
          <w:color w:val="auto"/>
          <w:sz w:val="24"/>
          <w:szCs w:val="24"/>
          <w:highlight w:val="none"/>
        </w:rPr>
      </w:pPr>
      <w:r>
        <w:rPr>
          <w:rFonts w:hint="eastAsia" w:ascii="仿宋" w:hAnsi="仿宋" w:eastAsia="仿宋" w:cs="仿宋_GB2312"/>
          <w:color w:val="auto"/>
          <w:sz w:val="24"/>
          <w:highlight w:val="none"/>
          <w:lang w:val="en-US" w:eastAsia="zh-CN"/>
        </w:rPr>
        <w:t>3</w:t>
      </w:r>
      <w:r>
        <w:rPr>
          <w:rFonts w:hint="eastAsia" w:ascii="仿宋" w:hAnsi="仿宋" w:eastAsia="仿宋" w:cs="仿宋_GB2312"/>
          <w:color w:val="auto"/>
          <w:sz w:val="24"/>
          <w:highlight w:val="none"/>
        </w:rPr>
        <w:t>.投标人开户银行、户名、账号；</w:t>
      </w:r>
    </w:p>
    <w:p>
      <w:pPr>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.投标代表身份证复印件；如非法定代表人投标，另提供法定代表人授权委托书原件、法定代表人身份证复印件</w:t>
      </w:r>
      <w:r>
        <w:rPr>
          <w:rFonts w:hint="eastAsia" w:ascii="仿宋" w:hAnsi="仿宋" w:eastAsia="仿宋"/>
          <w:color w:val="auto"/>
          <w:sz w:val="24"/>
          <w:szCs w:val="24"/>
          <w:highlight w:val="none"/>
          <w:lang w:eastAsia="zh-CN"/>
        </w:rPr>
        <w:t>及投标代表近</w:t>
      </w:r>
      <w:r>
        <w:rPr>
          <w:rFonts w:hint="eastAsia" w:ascii="仿宋" w:hAnsi="仿宋" w:eastAsia="仿宋"/>
          <w:color w:val="auto"/>
          <w:sz w:val="24"/>
          <w:szCs w:val="24"/>
          <w:highlight w:val="none"/>
          <w:lang w:val="en-US" w:eastAsia="zh-CN"/>
        </w:rPr>
        <w:t>3个月的社保证明材料</w:t>
      </w:r>
      <w:r>
        <w:rPr>
          <w:rFonts w:hint="eastAsia" w:ascii="仿宋" w:hAnsi="仿宋" w:eastAsia="仿宋"/>
          <w:color w:val="auto"/>
          <w:sz w:val="24"/>
          <w:szCs w:val="24"/>
          <w:highlight w:val="none"/>
        </w:rPr>
        <w:t>；</w:t>
      </w:r>
    </w:p>
    <w:p>
      <w:pPr>
        <w:ind w:firstLine="480" w:firstLineChars="200"/>
        <w:jc w:val="left"/>
        <w:rPr>
          <w:rFonts w:ascii="仿宋" w:hAnsi="仿宋" w:eastAsia="仿宋"/>
          <w:color w:val="auto"/>
          <w:sz w:val="24"/>
          <w:szCs w:val="24"/>
          <w:highlight w:val="none"/>
        </w:rPr>
      </w:pPr>
      <w:r>
        <w:rPr>
          <w:rFonts w:hint="eastAsia" w:ascii="仿宋" w:hAnsi="仿宋" w:eastAsia="仿宋"/>
          <w:color w:val="auto"/>
          <w:sz w:val="24"/>
          <w:highlight w:val="none"/>
        </w:rPr>
        <w:t>6.投标</w:t>
      </w:r>
      <w:r>
        <w:rPr>
          <w:rFonts w:hint="eastAsia" w:ascii="仿宋" w:hAnsi="仿宋" w:eastAsia="仿宋"/>
          <w:color w:val="auto"/>
          <w:sz w:val="24"/>
          <w:highlight w:val="none"/>
          <w:lang w:eastAsia="zh-CN"/>
        </w:rPr>
        <w:t>单位</w:t>
      </w:r>
      <w:r>
        <w:rPr>
          <w:rFonts w:hint="eastAsia" w:ascii="仿宋" w:hAnsi="仿宋" w:eastAsia="仿宋" w:cs="仿宋_GB2312"/>
          <w:color w:val="auto"/>
          <w:sz w:val="24"/>
          <w:highlight w:val="none"/>
          <w:lang w:val="en-US" w:eastAsia="zh-CN"/>
        </w:rPr>
        <w:t>《危险废物经营许可证》、《道路运输经营许可证》复印件（运输、处置由第三方单位承运的提供三方协议以及承运单位相关资质）</w:t>
      </w:r>
      <w:r>
        <w:rPr>
          <w:rFonts w:hint="eastAsia" w:ascii="仿宋" w:hAnsi="仿宋" w:eastAsia="仿宋"/>
          <w:color w:val="auto"/>
          <w:sz w:val="24"/>
          <w:highlight w:val="none"/>
        </w:rPr>
        <w:t>；</w:t>
      </w:r>
    </w:p>
    <w:p>
      <w:pPr>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7.投标人安全服务方案及承诺</w:t>
      </w:r>
      <w:r>
        <w:rPr>
          <w:rFonts w:hint="eastAsia" w:ascii="仿宋" w:hAnsi="仿宋" w:eastAsia="仿宋"/>
          <w:bCs/>
          <w:color w:val="auto"/>
          <w:sz w:val="24"/>
          <w:highlight w:val="none"/>
        </w:rPr>
        <w:t>；</w:t>
      </w:r>
    </w:p>
    <w:p>
      <w:pPr>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8.投标人</w:t>
      </w:r>
      <w:r>
        <w:rPr>
          <w:rFonts w:hint="eastAsia" w:ascii="仿宋" w:hAnsi="仿宋" w:eastAsia="仿宋"/>
          <w:color w:val="auto"/>
          <w:sz w:val="24"/>
          <w:szCs w:val="24"/>
          <w:highlight w:val="none"/>
          <w:lang w:eastAsia="zh-CN"/>
        </w:rPr>
        <w:t>服务</w:t>
      </w:r>
      <w:r>
        <w:rPr>
          <w:rFonts w:hint="eastAsia" w:ascii="仿宋" w:hAnsi="仿宋" w:eastAsia="仿宋"/>
          <w:color w:val="auto"/>
          <w:sz w:val="24"/>
          <w:szCs w:val="24"/>
          <w:highlight w:val="none"/>
        </w:rPr>
        <w:t>方案及实施方案；</w:t>
      </w:r>
    </w:p>
    <w:p>
      <w:pPr>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9.投标人</w:t>
      </w:r>
      <w:r>
        <w:rPr>
          <w:rFonts w:hint="eastAsia" w:ascii="仿宋" w:hAnsi="仿宋" w:eastAsia="仿宋"/>
          <w:color w:val="auto"/>
          <w:sz w:val="24"/>
          <w:szCs w:val="24"/>
          <w:highlight w:val="none"/>
          <w:lang w:eastAsia="zh-CN"/>
        </w:rPr>
        <w:t>投入本项目的专业人员</w:t>
      </w:r>
      <w:r>
        <w:rPr>
          <w:rFonts w:hint="eastAsia" w:ascii="仿宋" w:hAnsi="仿宋" w:eastAsia="仿宋"/>
          <w:color w:val="auto"/>
          <w:sz w:val="24"/>
          <w:szCs w:val="24"/>
          <w:highlight w:val="none"/>
        </w:rPr>
        <w:t>团队名单</w:t>
      </w:r>
      <w:r>
        <w:rPr>
          <w:rFonts w:hint="eastAsia" w:ascii="仿宋" w:hAnsi="仿宋" w:eastAsia="仿宋"/>
          <w:color w:val="auto"/>
          <w:sz w:val="24"/>
          <w:szCs w:val="24"/>
          <w:highlight w:val="none"/>
          <w:lang w:eastAsia="zh-CN"/>
        </w:rPr>
        <w:t>及证件</w:t>
      </w:r>
      <w:r>
        <w:rPr>
          <w:rFonts w:hint="eastAsia" w:ascii="仿宋" w:hAnsi="仿宋" w:eastAsia="仿宋"/>
          <w:color w:val="auto"/>
          <w:sz w:val="24"/>
          <w:szCs w:val="24"/>
          <w:highlight w:val="none"/>
        </w:rPr>
        <w:t>；</w:t>
      </w:r>
    </w:p>
    <w:p>
      <w:pPr>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10.投标人</w:t>
      </w:r>
      <w:r>
        <w:rPr>
          <w:rFonts w:hint="eastAsia" w:ascii="仿宋" w:hAnsi="仿宋" w:eastAsia="仿宋"/>
          <w:color w:val="auto"/>
          <w:sz w:val="24"/>
          <w:highlight w:val="none"/>
        </w:rPr>
        <w:t>201</w:t>
      </w:r>
      <w:r>
        <w:rPr>
          <w:rFonts w:hint="eastAsia" w:ascii="仿宋" w:hAnsi="仿宋" w:eastAsia="仿宋"/>
          <w:color w:val="auto"/>
          <w:sz w:val="24"/>
          <w:highlight w:val="none"/>
          <w:lang w:val="en-US" w:eastAsia="zh-CN"/>
        </w:rPr>
        <w:t>9</w:t>
      </w:r>
      <w:r>
        <w:rPr>
          <w:rFonts w:hint="eastAsia" w:ascii="仿宋" w:hAnsi="仿宋" w:eastAsia="仿宋"/>
          <w:color w:val="auto"/>
          <w:sz w:val="24"/>
          <w:highlight w:val="none"/>
        </w:rPr>
        <w:t>年1月1日至今的</w:t>
      </w:r>
      <w:r>
        <w:rPr>
          <w:rFonts w:hint="eastAsia" w:ascii="仿宋" w:hAnsi="仿宋" w:eastAsia="仿宋"/>
          <w:bCs/>
          <w:color w:val="auto"/>
          <w:sz w:val="24"/>
          <w:highlight w:val="none"/>
        </w:rPr>
        <w:t>同类项目业绩证明材料（业绩汇总表、合同复印件）</w:t>
      </w:r>
      <w:r>
        <w:rPr>
          <w:rFonts w:hint="eastAsia" w:ascii="仿宋" w:hAnsi="仿宋" w:eastAsia="仿宋"/>
          <w:color w:val="auto"/>
          <w:sz w:val="24"/>
          <w:highlight w:val="none"/>
        </w:rPr>
        <w:t>；</w:t>
      </w:r>
    </w:p>
    <w:p>
      <w:pPr>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11.其他相关证明材料</w:t>
      </w:r>
      <w:r>
        <w:rPr>
          <w:rFonts w:hint="eastAsia" w:ascii="仿宋" w:hAnsi="仿宋" w:eastAsia="仿宋" w:cs="仿宋_GB2312"/>
          <w:color w:val="auto"/>
          <w:sz w:val="24"/>
          <w:highlight w:val="none"/>
        </w:rPr>
        <w:t>（</w:t>
      </w:r>
      <w:r>
        <w:rPr>
          <w:rFonts w:hint="eastAsia" w:ascii="仿宋" w:hAnsi="仿宋" w:eastAsia="仿宋"/>
          <w:color w:val="auto"/>
          <w:sz w:val="24"/>
          <w:highlight w:val="none"/>
        </w:rPr>
        <w:t>采购文件要求提供</w:t>
      </w:r>
      <w:r>
        <w:rPr>
          <w:rFonts w:hint="eastAsia" w:ascii="仿宋" w:hAnsi="仿宋" w:eastAsia="仿宋" w:cs="仿宋_GB2312"/>
          <w:color w:val="auto"/>
          <w:sz w:val="24"/>
          <w:highlight w:val="none"/>
        </w:rPr>
        <w:t>的证明材料、投标人认为需要提交的材料等）</w:t>
      </w:r>
    </w:p>
    <w:p>
      <w:pPr>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12.</w:t>
      </w:r>
      <w:r>
        <w:rPr>
          <w:rFonts w:hint="eastAsia" w:ascii="仿宋" w:hAnsi="仿宋" w:eastAsia="仿宋"/>
          <w:color w:val="auto"/>
          <w:sz w:val="24"/>
          <w:highlight w:val="none"/>
        </w:rPr>
        <w:t>提供自采购公告发布之日起至开标截止时间止的“信用中国”网站（www.creditchina.gov.cn）、中国政府采购网（www.ccgp.gov.cn）、</w:t>
      </w:r>
      <w:r>
        <w:rPr>
          <w:rFonts w:hint="eastAsia" w:ascii="仿宋" w:hAnsi="仿宋" w:eastAsia="仿宋" w:cs="仿宋_GB2312"/>
          <w:color w:val="auto"/>
          <w:sz w:val="24"/>
          <w:highlight w:val="none"/>
        </w:rPr>
        <w:t>“浙江政府采购网”（www.zjzfcg.gov.cn）</w:t>
      </w:r>
      <w:r>
        <w:rPr>
          <w:rFonts w:hint="eastAsia" w:ascii="仿宋" w:hAnsi="仿宋" w:eastAsia="仿宋"/>
          <w:color w:val="auto"/>
          <w:sz w:val="24"/>
          <w:highlight w:val="none"/>
        </w:rPr>
        <w:t>投标人信用查询网页截图（以开标当日采购人核实的查询结果为准）。（提供任何2个查询网页截图即可）</w:t>
      </w:r>
    </w:p>
    <w:p>
      <w:pPr>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13.提供</w:t>
      </w:r>
      <w:r>
        <w:rPr>
          <w:rFonts w:hint="eastAsia" w:ascii="仿宋" w:hAnsi="仿宋" w:eastAsia="仿宋"/>
          <w:color w:val="auto"/>
          <w:sz w:val="24"/>
          <w:highlight w:val="none"/>
        </w:rPr>
        <w:t>投标人未在行政处罚期内和未被列入经营异常名录的</w:t>
      </w:r>
      <w:r>
        <w:rPr>
          <w:rFonts w:hint="eastAsia" w:ascii="仿宋" w:hAnsi="仿宋" w:eastAsia="仿宋"/>
          <w:color w:val="auto"/>
          <w:sz w:val="24"/>
          <w:highlight w:val="none"/>
        </w:rPr>
        <w:t>查询网页截图</w:t>
      </w:r>
      <w:r>
        <w:rPr>
          <w:rFonts w:hint="eastAsia" w:ascii="仿宋" w:hAnsi="仿宋" w:eastAsia="仿宋"/>
          <w:color w:val="auto"/>
          <w:sz w:val="24"/>
          <w:highlight w:val="none"/>
        </w:rPr>
        <w:t>（国家企业信用信息公示系统：</w:t>
      </w:r>
      <w:r>
        <w:rPr>
          <w:rFonts w:hint="eastAsia" w:ascii="仿宋" w:hAnsi="仿宋" w:eastAsia="仿宋" w:cs="仿宋_GB2312"/>
          <w:color w:val="auto"/>
          <w:sz w:val="24"/>
          <w:highlight w:val="none"/>
        </w:rPr>
        <w:t>www.gsxt.gov.cn</w:t>
      </w:r>
      <w:r>
        <w:rPr>
          <w:rFonts w:hint="eastAsia" w:ascii="仿宋" w:hAnsi="仿宋" w:eastAsia="仿宋"/>
          <w:color w:val="auto"/>
          <w:sz w:val="24"/>
          <w:highlight w:val="none"/>
        </w:rPr>
        <w:t>）。</w:t>
      </w:r>
    </w:p>
    <w:p>
      <w:pPr>
        <w:ind w:firstLine="472" w:firstLineChars="196"/>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三、投标文件递交及开标时间、地点</w:t>
      </w:r>
    </w:p>
    <w:p>
      <w:pPr>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1.开标时间：202</w:t>
      </w:r>
      <w:r>
        <w:rPr>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rPr>
        <w:t>日下午14：30（投标人不参加开标会议或迟到视为自动放弃）；</w:t>
      </w:r>
    </w:p>
    <w:p>
      <w:pPr>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2.开标地点：湖州市二环东路759号湖州师范学院东校区明达楼202室；</w:t>
      </w:r>
    </w:p>
    <w:p>
      <w:pPr>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3.联系人：徐老师；</w:t>
      </w:r>
    </w:p>
    <w:p>
      <w:pPr>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4.电话：0572-2322188。</w:t>
      </w:r>
    </w:p>
    <w:p>
      <w:pPr>
        <w:ind w:firstLine="472" w:firstLineChars="196"/>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四、中标办法</w:t>
      </w:r>
    </w:p>
    <w:p>
      <w:pPr>
        <w:ind w:firstLine="480" w:firstLineChars="200"/>
        <w:contextualSpacing/>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本项目</w:t>
      </w:r>
      <w:r>
        <w:rPr>
          <w:rFonts w:hint="eastAsia" w:ascii="仿宋" w:hAnsi="仿宋" w:eastAsia="仿宋"/>
          <w:color w:val="auto"/>
          <w:sz w:val="24"/>
          <w:szCs w:val="24"/>
          <w:highlight w:val="none"/>
          <w:lang w:eastAsia="zh-CN"/>
        </w:rPr>
        <w:t>根据二次报价及相关服务方案、承诺确定最终中标单位。</w:t>
      </w:r>
    </w:p>
    <w:p>
      <w:pPr>
        <w:ind w:firstLine="472" w:firstLineChars="196"/>
        <w:jc w:val="left"/>
        <w:rPr>
          <w:rFonts w:ascii="仿宋" w:hAnsi="仿宋" w:eastAsia="仿宋"/>
          <w:b/>
          <w:color w:val="auto"/>
          <w:sz w:val="24"/>
          <w:szCs w:val="24"/>
          <w:highlight w:val="none"/>
        </w:rPr>
      </w:pPr>
      <w:r>
        <w:rPr>
          <w:rFonts w:hint="eastAsia" w:ascii="仿宋" w:hAnsi="仿宋" w:eastAsia="仿宋"/>
          <w:b/>
          <w:color w:val="auto"/>
          <w:sz w:val="24"/>
          <w:szCs w:val="24"/>
          <w:highlight w:val="none"/>
          <w:lang w:eastAsia="zh-CN"/>
        </w:rPr>
        <w:t>五</w:t>
      </w:r>
      <w:r>
        <w:rPr>
          <w:rFonts w:hint="eastAsia" w:ascii="仿宋" w:hAnsi="仿宋" w:eastAsia="仿宋"/>
          <w:b/>
          <w:color w:val="auto"/>
          <w:sz w:val="24"/>
          <w:szCs w:val="24"/>
          <w:highlight w:val="none"/>
        </w:rPr>
        <w:t>、履约保证金</w:t>
      </w:r>
    </w:p>
    <w:p>
      <w:pPr>
        <w:ind w:firstLine="480" w:firstLineChars="200"/>
        <w:contextualSpacing/>
        <w:jc w:val="left"/>
        <w:rPr>
          <w:rFonts w:ascii="仿宋" w:hAnsi="仿宋" w:eastAsia="仿宋"/>
          <w:color w:val="auto"/>
          <w:sz w:val="24"/>
          <w:szCs w:val="24"/>
          <w:highlight w:val="none"/>
        </w:rPr>
      </w:pPr>
      <w:r>
        <w:rPr>
          <w:rFonts w:hint="eastAsia" w:ascii="仿宋" w:hAnsi="仿宋" w:eastAsia="仿宋" w:cs="Times New Roman"/>
          <w:color w:val="auto"/>
          <w:sz w:val="24"/>
          <w:highlight w:val="none"/>
        </w:rPr>
        <w:t>本项目的履约保证金为</w:t>
      </w:r>
      <w:r>
        <w:rPr>
          <w:rFonts w:hint="eastAsia" w:ascii="仿宋" w:hAnsi="仿宋" w:eastAsia="仿宋" w:cs="Times New Roman"/>
          <w:color w:val="auto"/>
          <w:sz w:val="24"/>
          <w:highlight w:val="none"/>
          <w:lang w:eastAsia="zh-CN"/>
        </w:rPr>
        <w:t>壹万元</w:t>
      </w:r>
      <w:r>
        <w:rPr>
          <w:rFonts w:hint="eastAsia" w:ascii="仿宋" w:hAnsi="仿宋" w:eastAsia="仿宋" w:cs="Times New Roman"/>
          <w:color w:val="auto"/>
          <w:sz w:val="24"/>
          <w:highlight w:val="none"/>
        </w:rPr>
        <w:t>；履约保证金形式为：现金或银行、保险公司出具的保函；中标人应根据招标人要求汇入招标人指定账号或提供保函。合同履约完毕，</w:t>
      </w:r>
      <w:r>
        <w:rPr>
          <w:rFonts w:hint="eastAsia" w:ascii="仿宋" w:hAnsi="仿宋" w:eastAsia="仿宋"/>
          <w:color w:val="auto"/>
          <w:sz w:val="24"/>
          <w:highlight w:val="none"/>
        </w:rPr>
        <w:t>履约保证金无息退还。</w:t>
      </w:r>
      <w:r>
        <w:rPr>
          <w:rFonts w:hint="eastAsia" w:ascii="仿宋" w:hAnsi="仿宋" w:eastAsia="仿宋"/>
          <w:color w:val="auto"/>
          <w:sz w:val="24"/>
          <w:szCs w:val="24"/>
          <w:highlight w:val="none"/>
        </w:rPr>
        <w:t>采购人</w:t>
      </w:r>
      <w:r>
        <w:rPr>
          <w:rFonts w:ascii="仿宋" w:hAnsi="仿宋" w:eastAsia="仿宋"/>
          <w:color w:val="auto"/>
          <w:sz w:val="24"/>
          <w:szCs w:val="24"/>
          <w:highlight w:val="none"/>
        </w:rPr>
        <w:t>单位名称：湖州师范学院</w:t>
      </w:r>
      <w:r>
        <w:rPr>
          <w:rFonts w:hint="eastAsia" w:ascii="仿宋" w:hAnsi="仿宋" w:eastAsia="仿宋"/>
          <w:color w:val="auto"/>
          <w:sz w:val="24"/>
          <w:szCs w:val="24"/>
          <w:highlight w:val="none"/>
        </w:rPr>
        <w:t>；</w:t>
      </w:r>
      <w:r>
        <w:rPr>
          <w:rFonts w:ascii="仿宋" w:hAnsi="仿宋" w:eastAsia="仿宋"/>
          <w:color w:val="auto"/>
          <w:sz w:val="24"/>
          <w:szCs w:val="24"/>
          <w:highlight w:val="none"/>
        </w:rPr>
        <w:t>开户行：建行吴兴支行</w:t>
      </w:r>
      <w:r>
        <w:rPr>
          <w:rFonts w:hint="eastAsia" w:ascii="仿宋" w:hAnsi="仿宋" w:eastAsia="仿宋"/>
          <w:color w:val="auto"/>
          <w:sz w:val="24"/>
          <w:szCs w:val="24"/>
          <w:highlight w:val="none"/>
        </w:rPr>
        <w:t>；</w:t>
      </w:r>
      <w:r>
        <w:rPr>
          <w:rFonts w:ascii="仿宋" w:hAnsi="仿宋" w:eastAsia="仿宋"/>
          <w:color w:val="auto"/>
          <w:sz w:val="24"/>
          <w:szCs w:val="24"/>
          <w:highlight w:val="none"/>
        </w:rPr>
        <w:t>账号</w:t>
      </w:r>
      <w:r>
        <w:rPr>
          <w:rFonts w:hint="eastAsia" w:ascii="仿宋" w:hAnsi="仿宋" w:eastAsia="仿宋"/>
          <w:color w:val="auto"/>
          <w:sz w:val="24"/>
          <w:szCs w:val="24"/>
          <w:highlight w:val="none"/>
        </w:rPr>
        <w:t>：</w:t>
      </w:r>
      <w:r>
        <w:rPr>
          <w:rFonts w:ascii="仿宋" w:hAnsi="仿宋" w:eastAsia="仿宋"/>
          <w:color w:val="auto"/>
          <w:sz w:val="24"/>
          <w:szCs w:val="24"/>
          <w:highlight w:val="none"/>
        </w:rPr>
        <w:t>33001649335050002860</w:t>
      </w:r>
      <w:r>
        <w:rPr>
          <w:rFonts w:hint="eastAsia" w:ascii="仿宋" w:hAnsi="仿宋" w:eastAsia="仿宋"/>
          <w:color w:val="auto"/>
          <w:sz w:val="24"/>
          <w:szCs w:val="24"/>
          <w:highlight w:val="none"/>
        </w:rPr>
        <w:t>。</w:t>
      </w:r>
      <w:r>
        <w:rPr>
          <w:rFonts w:ascii="仿宋" w:hAnsi="仿宋" w:eastAsia="仿宋"/>
          <w:color w:val="auto"/>
          <w:sz w:val="24"/>
          <w:szCs w:val="24"/>
          <w:highlight w:val="none"/>
        </w:rPr>
        <w:t>统一社会信用代码：123305004711725032</w:t>
      </w:r>
      <w:r>
        <w:rPr>
          <w:rFonts w:hint="eastAsia" w:ascii="仿宋" w:hAnsi="仿宋" w:eastAsia="仿宋"/>
          <w:color w:val="auto"/>
          <w:sz w:val="24"/>
          <w:szCs w:val="24"/>
          <w:highlight w:val="none"/>
        </w:rPr>
        <w:t>。地址、电话：湖州市二环东路759号，0572-2321567。</w:t>
      </w:r>
    </w:p>
    <w:p>
      <w:pPr>
        <w:ind w:firstLine="472" w:firstLineChars="196"/>
        <w:jc w:val="left"/>
        <w:rPr>
          <w:rFonts w:hint="eastAsia" w:ascii="仿宋" w:hAnsi="仿宋" w:eastAsia="仿宋"/>
          <w:b/>
          <w:color w:val="auto"/>
          <w:sz w:val="24"/>
          <w:szCs w:val="24"/>
          <w:highlight w:val="none"/>
          <w:lang w:eastAsia="zh-CN"/>
        </w:rPr>
      </w:pPr>
      <w:r>
        <w:rPr>
          <w:rFonts w:hint="eastAsia" w:ascii="仿宋" w:hAnsi="仿宋" w:eastAsia="仿宋"/>
          <w:b/>
          <w:color w:val="auto"/>
          <w:sz w:val="24"/>
          <w:szCs w:val="24"/>
          <w:highlight w:val="none"/>
          <w:lang w:eastAsia="zh-CN"/>
        </w:rPr>
        <w:t>六</w:t>
      </w:r>
      <w:r>
        <w:rPr>
          <w:rFonts w:hint="eastAsia" w:ascii="仿宋" w:hAnsi="仿宋" w:eastAsia="仿宋"/>
          <w:b/>
          <w:color w:val="auto"/>
          <w:sz w:val="24"/>
          <w:szCs w:val="24"/>
          <w:highlight w:val="none"/>
        </w:rPr>
        <w:t>、付款方式</w:t>
      </w:r>
      <w:r>
        <w:rPr>
          <w:rFonts w:hint="eastAsia" w:ascii="仿宋" w:hAnsi="仿宋" w:eastAsia="仿宋"/>
          <w:b/>
          <w:color w:val="auto"/>
          <w:sz w:val="24"/>
          <w:szCs w:val="24"/>
          <w:highlight w:val="none"/>
          <w:lang w:eastAsia="zh-CN"/>
        </w:rPr>
        <w:t>：</w:t>
      </w:r>
      <w:r>
        <w:rPr>
          <w:rFonts w:hint="eastAsia" w:ascii="仿宋" w:hAnsi="仿宋" w:eastAsia="仿宋"/>
          <w:b w:val="0"/>
          <w:bCs/>
          <w:color w:val="auto"/>
          <w:sz w:val="24"/>
          <w:szCs w:val="24"/>
          <w:highlight w:val="none"/>
          <w:lang w:eastAsia="zh-CN"/>
        </w:rPr>
        <w:t>实验室废物处置</w:t>
      </w:r>
      <w:r>
        <w:rPr>
          <w:rFonts w:hint="eastAsia" w:ascii="仿宋" w:hAnsi="仿宋" w:eastAsia="仿宋"/>
          <w:b/>
          <w:bCs w:val="0"/>
          <w:color w:val="auto"/>
          <w:sz w:val="24"/>
          <w:szCs w:val="24"/>
          <w:highlight w:val="none"/>
          <w:lang w:val="en-US" w:eastAsia="zh-CN"/>
        </w:rPr>
        <w:t>服务</w:t>
      </w:r>
      <w:r>
        <w:rPr>
          <w:rFonts w:hint="eastAsia" w:ascii="仿宋" w:hAnsi="仿宋" w:eastAsia="仿宋"/>
          <w:b/>
          <w:bCs w:val="0"/>
          <w:color w:val="auto"/>
          <w:sz w:val="24"/>
          <w:szCs w:val="24"/>
          <w:highlight w:val="none"/>
          <w:lang w:eastAsia="zh-CN"/>
        </w:rPr>
        <w:t>费用按实际产生量</w:t>
      </w:r>
      <w:r>
        <w:rPr>
          <w:rFonts w:hint="eastAsia" w:ascii="仿宋" w:hAnsi="仿宋" w:eastAsia="仿宋"/>
          <w:b/>
          <w:bCs w:val="0"/>
          <w:color w:val="auto"/>
          <w:sz w:val="24"/>
          <w:szCs w:val="24"/>
          <w:highlight w:val="none"/>
          <w:lang w:val="en-US" w:eastAsia="zh-CN"/>
        </w:rPr>
        <w:t>按</w:t>
      </w:r>
      <w:r>
        <w:rPr>
          <w:rFonts w:hint="eastAsia" w:ascii="仿宋" w:hAnsi="仿宋" w:eastAsia="仿宋"/>
          <w:b/>
          <w:bCs w:val="0"/>
          <w:color w:val="auto"/>
          <w:sz w:val="24"/>
          <w:szCs w:val="24"/>
          <w:highlight w:val="none"/>
          <w:lang w:eastAsia="zh-CN"/>
        </w:rPr>
        <w:t>季</w:t>
      </w:r>
      <w:r>
        <w:rPr>
          <w:rFonts w:hint="eastAsia" w:ascii="仿宋" w:hAnsi="仿宋" w:eastAsia="仿宋"/>
          <w:b/>
          <w:bCs w:val="0"/>
          <w:color w:val="auto"/>
          <w:sz w:val="24"/>
          <w:szCs w:val="24"/>
          <w:highlight w:val="none"/>
          <w:lang w:val="en-US" w:eastAsia="zh-CN"/>
        </w:rPr>
        <w:t>度</w:t>
      </w:r>
      <w:r>
        <w:rPr>
          <w:rFonts w:hint="eastAsia" w:ascii="仿宋" w:hAnsi="仿宋" w:eastAsia="仿宋"/>
          <w:b/>
          <w:bCs w:val="0"/>
          <w:color w:val="auto"/>
          <w:sz w:val="24"/>
          <w:szCs w:val="24"/>
          <w:highlight w:val="none"/>
          <w:lang w:eastAsia="zh-CN"/>
        </w:rPr>
        <w:t>结</w:t>
      </w:r>
      <w:r>
        <w:rPr>
          <w:rFonts w:hint="eastAsia" w:ascii="仿宋" w:hAnsi="仿宋" w:eastAsia="仿宋"/>
          <w:b/>
          <w:bCs w:val="0"/>
          <w:color w:val="auto"/>
          <w:sz w:val="24"/>
          <w:szCs w:val="24"/>
          <w:highlight w:val="none"/>
          <w:lang w:val="en-US" w:eastAsia="zh-CN"/>
        </w:rPr>
        <w:t>算</w:t>
      </w:r>
      <w:r>
        <w:rPr>
          <w:rFonts w:hint="eastAsia" w:ascii="仿宋" w:hAnsi="仿宋" w:eastAsia="仿宋"/>
          <w:b/>
          <w:bCs w:val="0"/>
          <w:color w:val="auto"/>
          <w:sz w:val="24"/>
          <w:szCs w:val="24"/>
          <w:highlight w:val="none"/>
          <w:lang w:eastAsia="zh-CN"/>
        </w:rPr>
        <w:t>支付</w:t>
      </w:r>
      <w:r>
        <w:rPr>
          <w:rFonts w:hint="eastAsia" w:ascii="仿宋" w:hAnsi="仿宋" w:eastAsia="仿宋"/>
          <w:b w:val="0"/>
          <w:bCs/>
          <w:color w:val="auto"/>
          <w:sz w:val="24"/>
          <w:szCs w:val="24"/>
          <w:highlight w:val="none"/>
          <w:lang w:eastAsia="zh-CN"/>
        </w:rPr>
        <w:t>（累计处置费不超过</w:t>
      </w:r>
      <w:r>
        <w:rPr>
          <w:rFonts w:hint="eastAsia" w:ascii="仿宋" w:hAnsi="仿宋" w:eastAsia="仿宋"/>
          <w:b/>
          <w:bCs w:val="0"/>
          <w:color w:val="auto"/>
          <w:sz w:val="24"/>
          <w:szCs w:val="24"/>
          <w:highlight w:val="none"/>
          <w:lang w:val="en-US" w:eastAsia="zh-CN"/>
        </w:rPr>
        <w:t>中标合同价</w:t>
      </w:r>
      <w:r>
        <w:rPr>
          <w:rFonts w:hint="eastAsia" w:ascii="仿宋" w:hAnsi="仿宋" w:eastAsia="仿宋"/>
          <w:b w:val="0"/>
          <w:bCs/>
          <w:color w:val="auto"/>
          <w:sz w:val="24"/>
          <w:szCs w:val="24"/>
          <w:highlight w:val="none"/>
          <w:lang w:eastAsia="zh-CN"/>
        </w:rPr>
        <w:t>）；运输次数每年不少于20次，正常情况下每两周运输1次，特殊情况下可协调适当增加运输次数，运输费用</w:t>
      </w:r>
      <w:r>
        <w:rPr>
          <w:rFonts w:hint="eastAsia" w:ascii="仿宋" w:hAnsi="仿宋" w:eastAsia="仿宋"/>
          <w:b w:val="0"/>
          <w:bCs/>
          <w:color w:val="auto"/>
          <w:sz w:val="24"/>
          <w:szCs w:val="24"/>
          <w:highlight w:val="none"/>
          <w:lang w:val="en-US" w:eastAsia="zh-CN"/>
        </w:rPr>
        <w:t>按实际次数</w:t>
      </w:r>
      <w:r>
        <w:rPr>
          <w:rFonts w:hint="eastAsia" w:ascii="仿宋" w:hAnsi="仿宋" w:eastAsia="仿宋"/>
          <w:b/>
          <w:bCs w:val="0"/>
          <w:color w:val="auto"/>
          <w:sz w:val="24"/>
          <w:szCs w:val="24"/>
          <w:highlight w:val="none"/>
          <w:lang w:val="en-US" w:eastAsia="zh-CN"/>
        </w:rPr>
        <w:t>按</w:t>
      </w:r>
      <w:r>
        <w:rPr>
          <w:rFonts w:hint="eastAsia" w:ascii="仿宋" w:hAnsi="仿宋" w:eastAsia="仿宋"/>
          <w:b/>
          <w:bCs w:val="0"/>
          <w:color w:val="auto"/>
          <w:sz w:val="24"/>
          <w:szCs w:val="24"/>
          <w:highlight w:val="none"/>
          <w:lang w:eastAsia="zh-CN"/>
        </w:rPr>
        <w:t>季</w:t>
      </w:r>
      <w:r>
        <w:rPr>
          <w:rFonts w:hint="eastAsia" w:ascii="仿宋" w:hAnsi="仿宋" w:eastAsia="仿宋"/>
          <w:b/>
          <w:bCs w:val="0"/>
          <w:color w:val="auto"/>
          <w:sz w:val="24"/>
          <w:szCs w:val="24"/>
          <w:highlight w:val="none"/>
          <w:lang w:val="en-US" w:eastAsia="zh-CN"/>
        </w:rPr>
        <w:t>度</w:t>
      </w:r>
      <w:r>
        <w:rPr>
          <w:rFonts w:hint="eastAsia" w:ascii="仿宋" w:hAnsi="仿宋" w:eastAsia="仿宋"/>
          <w:b/>
          <w:bCs w:val="0"/>
          <w:color w:val="auto"/>
          <w:sz w:val="24"/>
          <w:szCs w:val="24"/>
          <w:highlight w:val="none"/>
          <w:lang w:eastAsia="zh-CN"/>
        </w:rPr>
        <w:t>结</w:t>
      </w:r>
      <w:r>
        <w:rPr>
          <w:rFonts w:hint="eastAsia" w:ascii="仿宋" w:hAnsi="仿宋" w:eastAsia="仿宋"/>
          <w:b/>
          <w:bCs w:val="0"/>
          <w:color w:val="auto"/>
          <w:sz w:val="24"/>
          <w:szCs w:val="24"/>
          <w:highlight w:val="none"/>
          <w:lang w:val="en-US" w:eastAsia="zh-CN"/>
        </w:rPr>
        <w:t>算</w:t>
      </w:r>
      <w:r>
        <w:rPr>
          <w:rFonts w:hint="eastAsia" w:ascii="仿宋" w:hAnsi="仿宋" w:eastAsia="仿宋"/>
          <w:b/>
          <w:bCs w:val="0"/>
          <w:color w:val="auto"/>
          <w:sz w:val="24"/>
          <w:szCs w:val="24"/>
          <w:highlight w:val="none"/>
          <w:lang w:eastAsia="zh-CN"/>
        </w:rPr>
        <w:t>支付；</w:t>
      </w:r>
      <w:r>
        <w:rPr>
          <w:rFonts w:hint="eastAsia" w:ascii="仿宋" w:hAnsi="仿宋" w:eastAsia="仿宋"/>
          <w:b w:val="0"/>
          <w:bCs/>
          <w:color w:val="auto"/>
          <w:sz w:val="24"/>
          <w:szCs w:val="24"/>
          <w:highlight w:val="none"/>
          <w:lang w:eastAsia="zh-CN"/>
        </w:rPr>
        <w:t>浙江省固体废物监管信息系统的管理服务费和实验室危废收运贮处一体化管理服务费</w:t>
      </w:r>
      <w:r>
        <w:rPr>
          <w:rFonts w:hint="eastAsia" w:ascii="仿宋" w:hAnsi="仿宋" w:eastAsia="仿宋"/>
          <w:b/>
          <w:bCs w:val="0"/>
          <w:color w:val="auto"/>
          <w:sz w:val="24"/>
          <w:szCs w:val="24"/>
          <w:highlight w:val="none"/>
          <w:lang w:val="en-US" w:eastAsia="zh-CN"/>
        </w:rPr>
        <w:t>合同签订后</w:t>
      </w:r>
      <w:r>
        <w:rPr>
          <w:rFonts w:hint="default" w:ascii="仿宋" w:hAnsi="仿宋" w:eastAsia="仿宋"/>
          <w:b/>
          <w:bCs w:val="0"/>
          <w:color w:val="auto"/>
          <w:sz w:val="24"/>
          <w:szCs w:val="24"/>
          <w:highlight w:val="none"/>
          <w:lang w:val="en-US" w:eastAsia="zh-CN"/>
        </w:rPr>
        <w:t>14</w:t>
      </w:r>
      <w:r>
        <w:rPr>
          <w:rFonts w:hint="eastAsia" w:ascii="仿宋" w:hAnsi="仿宋" w:eastAsia="仿宋"/>
          <w:b/>
          <w:bCs w:val="0"/>
          <w:color w:val="auto"/>
          <w:sz w:val="24"/>
          <w:szCs w:val="24"/>
          <w:highlight w:val="none"/>
          <w:lang w:val="en-US" w:eastAsia="zh-CN"/>
        </w:rPr>
        <w:t>个工作日内</w:t>
      </w:r>
      <w:r>
        <w:rPr>
          <w:rFonts w:hint="eastAsia" w:ascii="仿宋" w:hAnsi="仿宋" w:eastAsia="仿宋"/>
          <w:b w:val="0"/>
          <w:bCs/>
          <w:color w:val="auto"/>
          <w:sz w:val="24"/>
          <w:szCs w:val="24"/>
          <w:highlight w:val="none"/>
          <w:lang w:eastAsia="zh-CN"/>
        </w:rPr>
        <w:t>一次性结清，合同签订后一年内有效</w:t>
      </w:r>
      <w:r>
        <w:rPr>
          <w:rFonts w:hint="eastAsia" w:ascii="仿宋" w:hAnsi="仿宋" w:eastAsia="仿宋"/>
          <w:b/>
          <w:color w:val="auto"/>
          <w:sz w:val="24"/>
          <w:szCs w:val="24"/>
          <w:highlight w:val="none"/>
          <w:lang w:eastAsia="zh-CN"/>
        </w:rPr>
        <w:t>。</w:t>
      </w:r>
    </w:p>
    <w:p>
      <w:pPr>
        <w:ind w:firstLine="472" w:firstLineChars="196"/>
        <w:jc w:val="left"/>
        <w:rPr>
          <w:rFonts w:ascii="仿宋" w:hAnsi="仿宋" w:eastAsia="仿宋"/>
          <w:b/>
          <w:color w:val="auto"/>
          <w:sz w:val="24"/>
          <w:szCs w:val="24"/>
          <w:highlight w:val="none"/>
        </w:rPr>
      </w:pPr>
      <w:r>
        <w:rPr>
          <w:rFonts w:hint="eastAsia" w:ascii="仿宋" w:hAnsi="仿宋" w:eastAsia="仿宋"/>
          <w:b/>
          <w:color w:val="auto"/>
          <w:sz w:val="24"/>
          <w:szCs w:val="24"/>
          <w:highlight w:val="none"/>
          <w:lang w:eastAsia="zh-CN"/>
        </w:rPr>
        <w:t>七</w:t>
      </w:r>
      <w:r>
        <w:rPr>
          <w:rFonts w:hint="eastAsia" w:ascii="仿宋" w:hAnsi="仿宋" w:eastAsia="仿宋"/>
          <w:b/>
          <w:color w:val="auto"/>
          <w:sz w:val="24"/>
          <w:szCs w:val="24"/>
          <w:highlight w:val="none"/>
        </w:rPr>
        <w:t>、其他事项</w:t>
      </w:r>
    </w:p>
    <w:p>
      <w:pPr>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eastAsia="zh-CN"/>
        </w:rPr>
        <w:t>服务期限</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eastAsia="zh-CN"/>
        </w:rPr>
        <w:t>自合同签订后</w:t>
      </w:r>
      <w:r>
        <w:rPr>
          <w:rFonts w:hint="eastAsia" w:ascii="仿宋" w:hAnsi="仿宋" w:eastAsia="仿宋"/>
          <w:color w:val="auto"/>
          <w:sz w:val="24"/>
          <w:szCs w:val="24"/>
          <w:highlight w:val="none"/>
          <w:lang w:val="en-US" w:eastAsia="zh-CN"/>
        </w:rPr>
        <w:t>1年</w:t>
      </w:r>
      <w:r>
        <w:rPr>
          <w:rFonts w:hint="eastAsia" w:ascii="仿宋" w:hAnsi="仿宋" w:eastAsia="仿宋"/>
          <w:color w:val="auto"/>
          <w:sz w:val="24"/>
          <w:szCs w:val="24"/>
          <w:highlight w:val="none"/>
        </w:rPr>
        <w:t>。</w:t>
      </w:r>
    </w:p>
    <w:p>
      <w:pPr>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3.服务响应时间：接到采购人通知后，48小时内提供服务。</w:t>
      </w:r>
    </w:p>
    <w:p>
      <w:pPr>
        <w:ind w:firstLine="472" w:firstLineChars="196"/>
        <w:jc w:val="left"/>
        <w:rPr>
          <w:rFonts w:ascii="仿宋" w:hAnsi="仿宋" w:eastAsia="仿宋"/>
          <w:b/>
          <w:color w:val="auto"/>
          <w:sz w:val="24"/>
          <w:highlight w:val="none"/>
        </w:rPr>
      </w:pPr>
      <w:r>
        <w:rPr>
          <w:rFonts w:hint="eastAsia" w:ascii="仿宋" w:hAnsi="仿宋" w:eastAsia="仿宋"/>
          <w:b/>
          <w:color w:val="auto"/>
          <w:sz w:val="24"/>
          <w:highlight w:val="none"/>
        </w:rPr>
        <w:t>附件一：</w:t>
      </w:r>
      <w:r>
        <w:rPr>
          <w:rFonts w:ascii="仿宋" w:hAnsi="仿宋" w:eastAsia="仿宋"/>
          <w:b/>
          <w:color w:val="auto"/>
          <w:sz w:val="24"/>
          <w:highlight w:val="none"/>
        </w:rPr>
        <w:t>投标报价</w:t>
      </w:r>
      <w:r>
        <w:rPr>
          <w:rFonts w:hint="eastAsia" w:ascii="仿宋" w:hAnsi="仿宋" w:eastAsia="仿宋"/>
          <w:b/>
          <w:color w:val="auto"/>
          <w:sz w:val="24"/>
          <w:highlight w:val="none"/>
        </w:rPr>
        <w:t>清单。</w:t>
      </w:r>
    </w:p>
    <w:p>
      <w:pPr>
        <w:ind w:firstLine="470" w:firstLineChars="196"/>
        <w:jc w:val="left"/>
        <w:rPr>
          <w:rFonts w:ascii="仿宋" w:hAnsi="仿宋" w:eastAsia="仿宋"/>
          <w:color w:val="auto"/>
          <w:sz w:val="24"/>
          <w:szCs w:val="24"/>
          <w:highlight w:val="none"/>
        </w:rPr>
      </w:pPr>
    </w:p>
    <w:p>
      <w:pPr>
        <w:ind w:firstLine="470" w:firstLineChars="196"/>
        <w:jc w:val="left"/>
        <w:rPr>
          <w:rFonts w:ascii="仿宋" w:hAnsi="仿宋" w:eastAsia="仿宋"/>
          <w:color w:val="auto"/>
          <w:sz w:val="24"/>
          <w:szCs w:val="24"/>
          <w:highlight w:val="none"/>
        </w:rPr>
      </w:pPr>
    </w:p>
    <w:p>
      <w:pPr>
        <w:ind w:right="480" w:firstLine="4819" w:firstLineChars="2000"/>
        <w:rPr>
          <w:rFonts w:ascii="仿宋" w:hAnsi="仿宋" w:eastAsia="仿宋"/>
          <w:b/>
          <w:color w:val="auto"/>
          <w:sz w:val="24"/>
          <w:szCs w:val="24"/>
          <w:highlight w:val="none"/>
        </w:rPr>
      </w:pPr>
      <w:r>
        <w:rPr>
          <w:rFonts w:hint="eastAsia" w:ascii="仿宋" w:hAnsi="仿宋" w:eastAsia="仿宋"/>
          <w:b/>
          <w:color w:val="auto"/>
          <w:sz w:val="24"/>
          <w:szCs w:val="24"/>
          <w:highlight w:val="none"/>
        </w:rPr>
        <w:t xml:space="preserve">湖州师范学院采购中心 </w:t>
      </w:r>
    </w:p>
    <w:p>
      <w:pPr>
        <w:ind w:right="480" w:firstLine="5180" w:firstLineChars="2150"/>
        <w:rPr>
          <w:rFonts w:ascii="仿宋" w:hAnsi="仿宋" w:eastAsia="仿宋"/>
          <w:b/>
          <w:color w:val="auto"/>
          <w:sz w:val="24"/>
          <w:szCs w:val="24"/>
          <w:highlight w:val="none"/>
        </w:rPr>
      </w:pPr>
      <w:r>
        <w:rPr>
          <w:rFonts w:hint="eastAsia" w:ascii="仿宋" w:hAnsi="仿宋" w:eastAsia="仿宋"/>
          <w:b/>
          <w:color w:val="auto"/>
          <w:sz w:val="24"/>
          <w:szCs w:val="24"/>
          <w:highlight w:val="none"/>
        </w:rPr>
        <w:t>202</w:t>
      </w:r>
      <w:r>
        <w:rPr>
          <w:rFonts w:hint="eastAsia" w:ascii="仿宋" w:hAnsi="仿宋" w:eastAsia="仿宋"/>
          <w:b/>
          <w:color w:val="auto"/>
          <w:sz w:val="24"/>
          <w:szCs w:val="24"/>
          <w:highlight w:val="none"/>
          <w:lang w:val="en-US" w:eastAsia="zh-CN"/>
        </w:rPr>
        <w:t>2</w:t>
      </w:r>
      <w:r>
        <w:rPr>
          <w:rFonts w:hint="eastAsia" w:ascii="仿宋" w:hAnsi="仿宋" w:eastAsia="仿宋"/>
          <w:b/>
          <w:color w:val="auto"/>
          <w:sz w:val="24"/>
          <w:szCs w:val="24"/>
          <w:highlight w:val="none"/>
        </w:rPr>
        <w:t>年</w:t>
      </w:r>
      <w:r>
        <w:rPr>
          <w:rFonts w:hint="eastAsia" w:ascii="仿宋" w:hAnsi="仿宋" w:eastAsia="仿宋"/>
          <w:b/>
          <w:color w:val="auto"/>
          <w:sz w:val="24"/>
          <w:szCs w:val="24"/>
          <w:highlight w:val="none"/>
          <w:lang w:val="en-US" w:eastAsia="zh-CN"/>
        </w:rPr>
        <w:t>5</w:t>
      </w:r>
      <w:r>
        <w:rPr>
          <w:rFonts w:hint="eastAsia" w:ascii="仿宋" w:hAnsi="仿宋" w:eastAsia="仿宋"/>
          <w:b/>
          <w:color w:val="auto"/>
          <w:sz w:val="24"/>
          <w:szCs w:val="24"/>
          <w:highlight w:val="none"/>
        </w:rPr>
        <w:t>月</w:t>
      </w:r>
      <w:r>
        <w:rPr>
          <w:rFonts w:hint="eastAsia" w:ascii="仿宋" w:hAnsi="仿宋" w:eastAsia="仿宋"/>
          <w:b/>
          <w:color w:val="auto"/>
          <w:sz w:val="24"/>
          <w:szCs w:val="24"/>
          <w:highlight w:val="none"/>
          <w:lang w:val="en-US" w:eastAsia="zh-CN"/>
        </w:rPr>
        <w:t>3</w:t>
      </w:r>
      <w:bookmarkStart w:id="0" w:name="_GoBack"/>
      <w:bookmarkEnd w:id="0"/>
      <w:r>
        <w:rPr>
          <w:rFonts w:hint="eastAsia" w:ascii="仿宋" w:hAnsi="仿宋" w:eastAsia="仿宋"/>
          <w:b/>
          <w:color w:val="auto"/>
          <w:sz w:val="24"/>
          <w:szCs w:val="24"/>
          <w:highlight w:val="none"/>
          <w:lang w:val="en-US" w:eastAsia="zh-CN"/>
        </w:rPr>
        <w:t>1</w:t>
      </w:r>
      <w:r>
        <w:rPr>
          <w:rFonts w:hint="eastAsia" w:ascii="仿宋" w:hAnsi="仿宋" w:eastAsia="仿宋"/>
          <w:b/>
          <w:color w:val="auto"/>
          <w:sz w:val="24"/>
          <w:szCs w:val="24"/>
          <w:highlight w:val="none"/>
        </w:rPr>
        <w:t>日</w:t>
      </w:r>
    </w:p>
    <w:p>
      <w:pPr>
        <w:pStyle w:val="3"/>
        <w:snapToGrid w:val="0"/>
        <w:spacing w:beforeLines="0" w:afterLines="0" w:line="240" w:lineRule="auto"/>
        <w:jc w:val="left"/>
        <w:rPr>
          <w:rFonts w:ascii="黑体" w:hAnsi="黑体" w:eastAsia="黑体"/>
          <w:color w:val="auto"/>
          <w:highlight w:val="none"/>
        </w:rPr>
      </w:pPr>
      <w:r>
        <w:rPr>
          <w:rFonts w:hint="eastAsia" w:ascii="黑体" w:hAnsi="黑体" w:eastAsia="黑体"/>
          <w:color w:val="auto"/>
          <w:highlight w:val="none"/>
        </w:rPr>
        <w:t>附件一：</w:t>
      </w:r>
      <w:r>
        <w:rPr>
          <w:rFonts w:ascii="黑体" w:hAnsi="黑体" w:eastAsia="黑体"/>
          <w:color w:val="auto"/>
          <w:highlight w:val="none"/>
        </w:rPr>
        <w:t>投标报价</w:t>
      </w:r>
      <w:r>
        <w:rPr>
          <w:rFonts w:hint="eastAsia" w:ascii="黑体" w:hAnsi="黑体" w:eastAsia="黑体"/>
          <w:color w:val="auto"/>
          <w:highlight w:val="none"/>
        </w:rPr>
        <w:t>清单</w:t>
      </w:r>
    </w:p>
    <w:p>
      <w:pPr>
        <w:snapToGrid w:val="0"/>
        <w:spacing w:before="50" w:after="50"/>
        <w:jc w:val="center"/>
        <w:rPr>
          <w:rFonts w:ascii="仿宋" w:hAnsi="仿宋" w:eastAsia="仿宋"/>
          <w:b/>
          <w:color w:val="auto"/>
          <w:sz w:val="24"/>
          <w:highlight w:val="none"/>
        </w:rPr>
      </w:pPr>
      <w:r>
        <w:rPr>
          <w:rFonts w:hint="eastAsia" w:ascii="仿宋" w:hAnsi="仿宋" w:eastAsia="仿宋"/>
          <w:b/>
          <w:color w:val="auto"/>
          <w:sz w:val="24"/>
          <w:highlight w:val="none"/>
        </w:rPr>
        <w:t>投标报价</w:t>
      </w:r>
      <w:r>
        <w:rPr>
          <w:rFonts w:hint="eastAsia" w:ascii="仿宋" w:hAnsi="仿宋" w:eastAsia="仿宋"/>
          <w:b/>
          <w:color w:val="auto"/>
          <w:sz w:val="24"/>
          <w:highlight w:val="none"/>
        </w:rPr>
        <w:t>清</w:t>
      </w:r>
      <w:r>
        <w:rPr>
          <w:rFonts w:hint="eastAsia" w:ascii="仿宋" w:hAnsi="仿宋" w:eastAsia="仿宋"/>
          <w:b/>
          <w:color w:val="auto"/>
          <w:sz w:val="24"/>
          <w:highlight w:val="none"/>
        </w:rPr>
        <w:t>单</w:t>
      </w:r>
    </w:p>
    <w:p>
      <w:pPr>
        <w:jc w:val="left"/>
        <w:rPr>
          <w:rFonts w:ascii="仿宋" w:hAnsi="仿宋" w:eastAsia="仿宋"/>
          <w:b/>
          <w:color w:val="auto"/>
          <w:sz w:val="24"/>
          <w:highlight w:val="none"/>
        </w:rPr>
      </w:pPr>
      <w:r>
        <w:rPr>
          <w:rFonts w:hint="eastAsia" w:ascii="仿宋" w:hAnsi="仿宋" w:eastAsia="仿宋"/>
          <w:b/>
          <w:color w:val="auto"/>
          <w:sz w:val="24"/>
          <w:highlight w:val="none"/>
        </w:rPr>
        <w:t>采购项目名称：湖州师范学院实验室危险废物收运贮处一体化采购项目</w:t>
      </w:r>
    </w:p>
    <w:p>
      <w:pPr>
        <w:jc w:val="left"/>
        <w:rPr>
          <w:rFonts w:hint="eastAsia" w:ascii="仿宋" w:hAnsi="仿宋" w:eastAsia="仿宋"/>
          <w:b/>
          <w:color w:val="auto"/>
          <w:sz w:val="24"/>
          <w:szCs w:val="24"/>
          <w:highlight w:val="none"/>
          <w:lang w:val="en-US" w:eastAsia="zh-CN"/>
        </w:rPr>
      </w:pPr>
      <w:r>
        <w:rPr>
          <w:rFonts w:hint="eastAsia" w:ascii="仿宋" w:hAnsi="仿宋" w:eastAsia="仿宋"/>
          <w:b/>
          <w:color w:val="auto"/>
          <w:sz w:val="24"/>
          <w:highlight w:val="none"/>
        </w:rPr>
        <w:t>采购项目编号：</w:t>
      </w:r>
      <w:r>
        <w:rPr>
          <w:rFonts w:hint="eastAsia" w:ascii="仿宋" w:hAnsi="仿宋" w:eastAsia="仿宋"/>
          <w:b/>
          <w:color w:val="auto"/>
          <w:sz w:val="24"/>
          <w:szCs w:val="24"/>
          <w:highlight w:val="none"/>
        </w:rPr>
        <w:t>XZ202</w:t>
      </w:r>
      <w:r>
        <w:rPr>
          <w:rFonts w:hint="eastAsia" w:ascii="仿宋" w:hAnsi="仿宋" w:eastAsia="仿宋"/>
          <w:b/>
          <w:color w:val="auto"/>
          <w:sz w:val="24"/>
          <w:szCs w:val="24"/>
          <w:highlight w:val="none"/>
          <w:lang w:val="en-US" w:eastAsia="zh-CN"/>
        </w:rPr>
        <w:t>2-037</w:t>
      </w:r>
    </w:p>
    <w:p>
      <w:pPr>
        <w:jc w:val="left"/>
        <w:rPr>
          <w:rFonts w:hint="default" w:ascii="仿宋" w:hAnsi="仿宋" w:eastAsia="仿宋"/>
          <w:b/>
          <w:color w:val="auto"/>
          <w:sz w:val="24"/>
          <w:szCs w:val="24"/>
          <w:highlight w:val="none"/>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496"/>
        <w:gridCol w:w="2535"/>
        <w:gridCol w:w="831"/>
        <w:gridCol w:w="951"/>
        <w:gridCol w:w="88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70" w:type="dxa"/>
            <w:vAlign w:val="center"/>
          </w:tcPr>
          <w:p>
            <w:pPr>
              <w:jc w:val="center"/>
              <w:rPr>
                <w:rFonts w:hint="eastAsia" w:ascii="仿宋" w:hAnsi="仿宋" w:eastAsia="仿宋"/>
                <w:color w:val="auto"/>
                <w:sz w:val="24"/>
                <w:highlight w:val="none"/>
                <w:vertAlign w:val="baseline"/>
                <w:lang w:eastAsia="zh-CN"/>
              </w:rPr>
            </w:pPr>
            <w:r>
              <w:rPr>
                <w:rFonts w:hint="eastAsia" w:ascii="仿宋" w:hAnsi="仿宋" w:eastAsia="仿宋"/>
                <w:color w:val="auto"/>
                <w:sz w:val="24"/>
                <w:highlight w:val="none"/>
                <w:vertAlign w:val="baseline"/>
                <w:lang w:eastAsia="zh-CN"/>
              </w:rPr>
              <w:t>序号</w:t>
            </w:r>
          </w:p>
        </w:tc>
        <w:tc>
          <w:tcPr>
            <w:tcW w:w="1496" w:type="dxa"/>
            <w:vAlign w:val="center"/>
          </w:tcPr>
          <w:p>
            <w:pPr>
              <w:jc w:val="center"/>
              <w:rPr>
                <w:rFonts w:hint="eastAsia" w:ascii="仿宋" w:hAnsi="仿宋" w:eastAsia="仿宋"/>
                <w:color w:val="auto"/>
                <w:sz w:val="24"/>
                <w:highlight w:val="none"/>
                <w:vertAlign w:val="baseline"/>
                <w:lang w:eastAsia="zh-CN"/>
              </w:rPr>
            </w:pPr>
            <w:r>
              <w:rPr>
                <w:rFonts w:hint="default" w:ascii="仿宋" w:hAnsi="仿宋" w:eastAsia="仿宋"/>
                <w:color w:val="auto"/>
                <w:sz w:val="24"/>
                <w:highlight w:val="none"/>
                <w:vertAlign w:val="baseline"/>
                <w:lang w:val="en-US" w:eastAsia="zh-CN"/>
              </w:rPr>
              <w:t>名称</w:t>
            </w:r>
          </w:p>
        </w:tc>
        <w:tc>
          <w:tcPr>
            <w:tcW w:w="2535" w:type="dxa"/>
            <w:vAlign w:val="center"/>
          </w:tcPr>
          <w:p>
            <w:pPr>
              <w:jc w:val="center"/>
              <w:rPr>
                <w:rFonts w:hint="eastAsia" w:ascii="仿宋" w:hAnsi="仿宋" w:eastAsia="仿宋"/>
                <w:color w:val="auto"/>
                <w:sz w:val="24"/>
                <w:highlight w:val="none"/>
                <w:vertAlign w:val="baseline"/>
                <w:lang w:eastAsia="zh-CN"/>
              </w:rPr>
            </w:pPr>
            <w:r>
              <w:rPr>
                <w:rFonts w:hint="eastAsia" w:ascii="仿宋" w:hAnsi="仿宋" w:eastAsia="仿宋"/>
                <w:color w:val="auto"/>
                <w:sz w:val="24"/>
                <w:highlight w:val="none"/>
                <w:vertAlign w:val="baseline"/>
                <w:lang w:eastAsia="zh-CN"/>
              </w:rPr>
              <w:t>服务内容</w:t>
            </w:r>
          </w:p>
        </w:tc>
        <w:tc>
          <w:tcPr>
            <w:tcW w:w="831" w:type="dxa"/>
            <w:vAlign w:val="center"/>
          </w:tcPr>
          <w:p>
            <w:pPr>
              <w:jc w:val="center"/>
              <w:rPr>
                <w:rFonts w:hint="eastAsia" w:ascii="仿宋" w:hAnsi="仿宋" w:eastAsia="仿宋"/>
                <w:color w:val="auto"/>
                <w:sz w:val="24"/>
                <w:highlight w:val="none"/>
                <w:vertAlign w:val="baseline"/>
                <w:lang w:eastAsia="zh-CN"/>
              </w:rPr>
            </w:pPr>
            <w:r>
              <w:rPr>
                <w:rFonts w:hint="eastAsia" w:ascii="仿宋" w:hAnsi="仿宋" w:eastAsia="仿宋"/>
                <w:color w:val="auto"/>
                <w:sz w:val="24"/>
                <w:highlight w:val="none"/>
                <w:vertAlign w:val="baseline"/>
                <w:lang w:eastAsia="zh-CN"/>
              </w:rPr>
              <w:t>单位</w:t>
            </w:r>
          </w:p>
        </w:tc>
        <w:tc>
          <w:tcPr>
            <w:tcW w:w="951" w:type="dxa"/>
            <w:vAlign w:val="center"/>
          </w:tcPr>
          <w:p>
            <w:pPr>
              <w:jc w:val="center"/>
              <w:rPr>
                <w:rFonts w:hint="eastAsia" w:ascii="仿宋" w:hAnsi="仿宋" w:eastAsia="仿宋"/>
                <w:color w:val="auto"/>
                <w:sz w:val="24"/>
                <w:highlight w:val="none"/>
                <w:vertAlign w:val="baseline"/>
                <w:lang w:eastAsia="zh-CN"/>
              </w:rPr>
            </w:pPr>
            <w:r>
              <w:rPr>
                <w:rFonts w:hint="eastAsia" w:ascii="仿宋" w:hAnsi="仿宋" w:eastAsia="仿宋"/>
                <w:color w:val="auto"/>
                <w:sz w:val="24"/>
                <w:highlight w:val="none"/>
                <w:vertAlign w:val="baseline"/>
                <w:lang w:eastAsia="zh-CN"/>
              </w:rPr>
              <w:t>数量</w:t>
            </w:r>
          </w:p>
        </w:tc>
        <w:tc>
          <w:tcPr>
            <w:tcW w:w="886" w:type="dxa"/>
            <w:vAlign w:val="center"/>
          </w:tcPr>
          <w:p>
            <w:pPr>
              <w:jc w:val="center"/>
              <w:rPr>
                <w:rFonts w:hint="eastAsia" w:ascii="仿宋" w:hAnsi="仿宋" w:eastAsia="仿宋"/>
                <w:color w:val="auto"/>
                <w:sz w:val="24"/>
                <w:highlight w:val="none"/>
                <w:vertAlign w:val="baseline"/>
                <w:lang w:eastAsia="zh-CN"/>
              </w:rPr>
            </w:pPr>
            <w:r>
              <w:rPr>
                <w:rFonts w:hint="eastAsia" w:ascii="仿宋" w:hAnsi="仿宋" w:eastAsia="仿宋"/>
                <w:color w:val="auto"/>
                <w:sz w:val="24"/>
                <w:highlight w:val="none"/>
                <w:vertAlign w:val="baseline"/>
                <w:lang w:eastAsia="zh-CN"/>
              </w:rPr>
              <w:t>单价</w:t>
            </w:r>
          </w:p>
        </w:tc>
        <w:tc>
          <w:tcPr>
            <w:tcW w:w="803" w:type="dxa"/>
            <w:vAlign w:val="center"/>
          </w:tcPr>
          <w:p>
            <w:pPr>
              <w:jc w:val="center"/>
              <w:rPr>
                <w:rFonts w:hint="eastAsia" w:ascii="仿宋" w:hAnsi="仿宋" w:eastAsia="仿宋"/>
                <w:color w:val="auto"/>
                <w:sz w:val="24"/>
                <w:highlight w:val="none"/>
                <w:vertAlign w:val="baseline"/>
                <w:lang w:eastAsia="zh-CN"/>
              </w:rPr>
            </w:pPr>
            <w:r>
              <w:rPr>
                <w:rFonts w:hint="eastAsia" w:ascii="仿宋" w:hAnsi="仿宋" w:eastAsia="仿宋"/>
                <w:color w:val="auto"/>
                <w:sz w:val="24"/>
                <w:highlight w:val="none"/>
                <w:vertAlign w:val="baseline"/>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jc w:val="center"/>
              <w:rPr>
                <w:rFonts w:hint="eastAsia" w:ascii="仿宋" w:hAnsi="仿宋" w:eastAsia="仿宋"/>
                <w:color w:val="auto"/>
                <w:sz w:val="24"/>
                <w:highlight w:val="none"/>
                <w:vertAlign w:val="baseline"/>
                <w:lang w:val="en-US" w:eastAsia="zh-CN"/>
              </w:rPr>
            </w:pPr>
            <w:r>
              <w:rPr>
                <w:rFonts w:hint="eastAsia" w:ascii="仿宋" w:hAnsi="仿宋" w:eastAsia="仿宋"/>
                <w:color w:val="auto"/>
                <w:sz w:val="24"/>
                <w:highlight w:val="none"/>
                <w:vertAlign w:val="baseline"/>
                <w:lang w:val="en-US" w:eastAsia="zh-CN"/>
              </w:rPr>
              <w:t>1</w:t>
            </w:r>
          </w:p>
        </w:tc>
        <w:tc>
          <w:tcPr>
            <w:tcW w:w="1496" w:type="dxa"/>
            <w:vAlign w:val="center"/>
          </w:tcPr>
          <w:p>
            <w:pPr>
              <w:jc w:val="center"/>
              <w:rPr>
                <w:rFonts w:hint="eastAsia" w:ascii="仿宋" w:hAnsi="仿宋" w:eastAsia="仿宋"/>
                <w:color w:val="auto"/>
                <w:sz w:val="21"/>
                <w:szCs w:val="21"/>
                <w:highlight w:val="none"/>
                <w:vertAlign w:val="baseline"/>
                <w:lang w:eastAsia="zh-CN"/>
              </w:rPr>
            </w:pPr>
            <w:r>
              <w:rPr>
                <w:rFonts w:hint="default" w:ascii="仿宋" w:hAnsi="仿宋" w:eastAsia="仿宋"/>
                <w:color w:val="auto"/>
                <w:sz w:val="21"/>
                <w:szCs w:val="21"/>
                <w:highlight w:val="none"/>
                <w:vertAlign w:val="baseline"/>
                <w:lang w:val="en-US" w:eastAsia="zh-CN"/>
              </w:rPr>
              <w:t>实验室废液处置服务</w:t>
            </w:r>
          </w:p>
        </w:tc>
        <w:tc>
          <w:tcPr>
            <w:tcW w:w="2535" w:type="dxa"/>
            <w:vAlign w:val="center"/>
          </w:tcPr>
          <w:p>
            <w:pPr>
              <w:jc w:val="left"/>
              <w:rPr>
                <w:rFonts w:hint="eastAsia" w:ascii="仿宋" w:hAnsi="仿宋" w:eastAsia="仿宋"/>
                <w:color w:val="auto"/>
                <w:sz w:val="21"/>
                <w:szCs w:val="21"/>
                <w:highlight w:val="none"/>
                <w:vertAlign w:val="baseline"/>
              </w:rPr>
            </w:pPr>
            <w:r>
              <w:rPr>
                <w:rFonts w:hint="eastAsia" w:ascii="仿宋" w:hAnsi="仿宋" w:eastAsia="仿宋"/>
                <w:color w:val="auto"/>
                <w:sz w:val="21"/>
                <w:szCs w:val="21"/>
                <w:highlight w:val="none"/>
                <w:vertAlign w:val="baseline"/>
                <w:lang w:eastAsia="zh-CN"/>
              </w:rPr>
              <w:t>实验活动产生的废液的处置服务，</w:t>
            </w:r>
            <w:r>
              <w:rPr>
                <w:rFonts w:hint="eastAsia" w:ascii="仿宋" w:hAnsi="仿宋" w:eastAsia="仿宋"/>
                <w:color w:val="auto"/>
                <w:sz w:val="21"/>
                <w:szCs w:val="21"/>
                <w:highlight w:val="none"/>
                <w:vertAlign w:val="baseline"/>
              </w:rPr>
              <w:t>25L废液桶盛装，无需再稀释</w:t>
            </w:r>
          </w:p>
        </w:tc>
        <w:tc>
          <w:tcPr>
            <w:tcW w:w="831" w:type="dxa"/>
            <w:vAlign w:val="center"/>
          </w:tcPr>
          <w:p>
            <w:pPr>
              <w:keepNext w:val="0"/>
              <w:keepLines w:val="0"/>
              <w:widowControl/>
              <w:suppressLineNumbers w:val="0"/>
              <w:jc w:val="center"/>
              <w:textAlignment w:val="center"/>
              <w:rPr>
                <w:rFonts w:hint="eastAsia" w:ascii="仿宋" w:hAnsi="仿宋" w:eastAsia="仿宋"/>
                <w:b w:val="0"/>
                <w:bCs w:val="0"/>
                <w:color w:val="auto"/>
                <w:sz w:val="21"/>
                <w:szCs w:val="21"/>
                <w:highlight w:val="none"/>
                <w:vertAlign w:val="baseline"/>
              </w:rPr>
            </w:pPr>
            <w:r>
              <w:rPr>
                <w:rFonts w:hint="default" w:ascii="仿宋_GB2312" w:hAnsi="宋体" w:eastAsia="仿宋_GB2312" w:cs="仿宋_GB2312"/>
                <w:b w:val="0"/>
                <w:bCs w:val="0"/>
                <w:i w:val="0"/>
                <w:iCs w:val="0"/>
                <w:color w:val="auto"/>
                <w:kern w:val="0"/>
                <w:sz w:val="21"/>
                <w:szCs w:val="21"/>
                <w:highlight w:val="none"/>
                <w:u w:val="none"/>
                <w:lang w:val="en-US" w:eastAsia="zh-CN" w:bidi="ar"/>
              </w:rPr>
              <w:t>吨</w:t>
            </w:r>
          </w:p>
        </w:tc>
        <w:tc>
          <w:tcPr>
            <w:tcW w:w="951" w:type="dxa"/>
            <w:vAlign w:val="center"/>
          </w:tcPr>
          <w:p>
            <w:pPr>
              <w:jc w:val="center"/>
              <w:rPr>
                <w:rFonts w:hint="default" w:ascii="仿宋" w:hAnsi="仿宋" w:eastAsia="仿宋"/>
                <w:color w:val="auto"/>
                <w:sz w:val="24"/>
                <w:highlight w:val="none"/>
                <w:vertAlign w:val="baseline"/>
                <w:lang w:val="en-US" w:eastAsia="zh-CN"/>
              </w:rPr>
            </w:pPr>
            <w:r>
              <w:rPr>
                <w:rFonts w:hint="eastAsia" w:ascii="仿宋" w:hAnsi="仿宋" w:eastAsia="仿宋"/>
                <w:color w:val="auto"/>
                <w:sz w:val="24"/>
                <w:highlight w:val="none"/>
                <w:vertAlign w:val="baseline"/>
                <w:lang w:eastAsia="zh-CN"/>
              </w:rPr>
              <w:t>约</w:t>
            </w:r>
            <w:r>
              <w:rPr>
                <w:rFonts w:hint="eastAsia" w:ascii="仿宋" w:hAnsi="仿宋" w:eastAsia="仿宋"/>
                <w:color w:val="auto"/>
                <w:sz w:val="24"/>
                <w:highlight w:val="none"/>
                <w:vertAlign w:val="baseline"/>
                <w:lang w:val="en-US" w:eastAsia="zh-CN"/>
              </w:rPr>
              <w:t>9</w:t>
            </w:r>
          </w:p>
        </w:tc>
        <w:tc>
          <w:tcPr>
            <w:tcW w:w="886" w:type="dxa"/>
            <w:vAlign w:val="center"/>
          </w:tcPr>
          <w:p>
            <w:pPr>
              <w:jc w:val="center"/>
              <w:rPr>
                <w:rFonts w:hint="default" w:ascii="仿宋" w:hAnsi="仿宋" w:eastAsia="仿宋"/>
                <w:color w:val="auto"/>
                <w:sz w:val="24"/>
                <w:highlight w:val="none"/>
                <w:vertAlign w:val="baseline"/>
                <w:lang w:val="en-US" w:eastAsia="zh-CN"/>
              </w:rPr>
            </w:pPr>
          </w:p>
        </w:tc>
        <w:tc>
          <w:tcPr>
            <w:tcW w:w="803" w:type="dxa"/>
            <w:vAlign w:val="center"/>
          </w:tcPr>
          <w:p>
            <w:pPr>
              <w:jc w:val="center"/>
              <w:rPr>
                <w:rFonts w:hint="default" w:ascii="仿宋" w:hAnsi="仿宋" w:eastAsia="仿宋"/>
                <w:color w:val="auto"/>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jc w:val="center"/>
              <w:rPr>
                <w:rFonts w:hint="eastAsia" w:ascii="仿宋" w:hAnsi="仿宋" w:eastAsia="仿宋"/>
                <w:color w:val="auto"/>
                <w:sz w:val="24"/>
                <w:highlight w:val="none"/>
                <w:vertAlign w:val="baseline"/>
                <w:lang w:val="en-US" w:eastAsia="zh-CN"/>
              </w:rPr>
            </w:pPr>
            <w:r>
              <w:rPr>
                <w:rFonts w:hint="eastAsia" w:ascii="仿宋" w:hAnsi="仿宋" w:eastAsia="仿宋"/>
                <w:color w:val="auto"/>
                <w:sz w:val="24"/>
                <w:highlight w:val="none"/>
                <w:vertAlign w:val="baseline"/>
                <w:lang w:val="en-US" w:eastAsia="zh-CN"/>
              </w:rPr>
              <w:t>2</w:t>
            </w:r>
          </w:p>
        </w:tc>
        <w:tc>
          <w:tcPr>
            <w:tcW w:w="1496" w:type="dxa"/>
            <w:vAlign w:val="center"/>
          </w:tcPr>
          <w:p>
            <w:pPr>
              <w:jc w:val="center"/>
              <w:rPr>
                <w:rFonts w:hint="eastAsia" w:ascii="仿宋" w:hAnsi="仿宋" w:eastAsia="仿宋"/>
                <w:color w:val="auto"/>
                <w:sz w:val="21"/>
                <w:szCs w:val="21"/>
                <w:highlight w:val="none"/>
                <w:vertAlign w:val="baseline"/>
                <w:lang w:eastAsia="zh-CN"/>
              </w:rPr>
            </w:pPr>
            <w:r>
              <w:rPr>
                <w:rFonts w:hint="default" w:ascii="仿宋" w:hAnsi="仿宋" w:eastAsia="仿宋"/>
                <w:color w:val="auto"/>
                <w:sz w:val="21"/>
                <w:szCs w:val="21"/>
                <w:highlight w:val="none"/>
                <w:vertAlign w:val="baseline"/>
                <w:lang w:val="en-US" w:eastAsia="zh-CN"/>
              </w:rPr>
              <w:t>实验室废弃物处置服务</w:t>
            </w:r>
          </w:p>
        </w:tc>
        <w:tc>
          <w:tcPr>
            <w:tcW w:w="2535" w:type="dxa"/>
            <w:vAlign w:val="center"/>
          </w:tcPr>
          <w:p>
            <w:pPr>
              <w:jc w:val="left"/>
              <w:rPr>
                <w:rFonts w:hint="eastAsia" w:ascii="仿宋" w:hAnsi="仿宋" w:eastAsia="仿宋"/>
                <w:color w:val="auto"/>
                <w:sz w:val="21"/>
                <w:szCs w:val="21"/>
                <w:highlight w:val="none"/>
                <w:vertAlign w:val="baseline"/>
              </w:rPr>
            </w:pPr>
            <w:r>
              <w:rPr>
                <w:rFonts w:hint="eastAsia" w:ascii="仿宋" w:hAnsi="仿宋" w:eastAsia="仿宋"/>
                <w:color w:val="auto"/>
                <w:sz w:val="21"/>
                <w:szCs w:val="21"/>
                <w:highlight w:val="none"/>
                <w:vertAlign w:val="baseline"/>
              </w:rPr>
              <w:t>实验室活动产生的沾染废弃物：废包装物、废容器、废手套、废纸巾等</w:t>
            </w:r>
            <w:r>
              <w:rPr>
                <w:rFonts w:hint="eastAsia" w:ascii="仿宋" w:hAnsi="仿宋" w:eastAsia="仿宋"/>
                <w:color w:val="auto"/>
                <w:sz w:val="21"/>
                <w:szCs w:val="21"/>
                <w:highlight w:val="none"/>
                <w:vertAlign w:val="baseline"/>
                <w:lang w:eastAsia="zh-CN"/>
              </w:rPr>
              <w:t>沾染废弃物的处置服务</w:t>
            </w:r>
          </w:p>
        </w:tc>
        <w:tc>
          <w:tcPr>
            <w:tcW w:w="831" w:type="dxa"/>
            <w:vAlign w:val="center"/>
          </w:tcPr>
          <w:p>
            <w:pPr>
              <w:keepNext w:val="0"/>
              <w:keepLines w:val="0"/>
              <w:widowControl/>
              <w:suppressLineNumbers w:val="0"/>
              <w:jc w:val="center"/>
              <w:textAlignment w:val="center"/>
              <w:rPr>
                <w:rFonts w:hint="eastAsia" w:ascii="仿宋" w:hAnsi="仿宋" w:eastAsia="仿宋"/>
                <w:b w:val="0"/>
                <w:bCs w:val="0"/>
                <w:color w:val="auto"/>
                <w:sz w:val="21"/>
                <w:szCs w:val="21"/>
                <w:highlight w:val="none"/>
                <w:vertAlign w:val="baseline"/>
              </w:rPr>
            </w:pPr>
            <w:r>
              <w:rPr>
                <w:rFonts w:hint="default" w:ascii="仿宋_GB2312" w:hAnsi="宋体" w:eastAsia="仿宋_GB2312" w:cs="仿宋_GB2312"/>
                <w:b w:val="0"/>
                <w:bCs w:val="0"/>
                <w:i w:val="0"/>
                <w:iCs w:val="0"/>
                <w:color w:val="auto"/>
                <w:kern w:val="0"/>
                <w:sz w:val="21"/>
                <w:szCs w:val="21"/>
                <w:highlight w:val="none"/>
                <w:u w:val="none"/>
                <w:lang w:val="en-US" w:eastAsia="zh-CN" w:bidi="ar"/>
              </w:rPr>
              <w:t>吨</w:t>
            </w:r>
          </w:p>
        </w:tc>
        <w:tc>
          <w:tcPr>
            <w:tcW w:w="951" w:type="dxa"/>
            <w:vAlign w:val="center"/>
          </w:tcPr>
          <w:p>
            <w:pPr>
              <w:jc w:val="center"/>
              <w:rPr>
                <w:rFonts w:hint="default" w:ascii="仿宋" w:hAnsi="仿宋" w:eastAsia="仿宋"/>
                <w:color w:val="auto"/>
                <w:sz w:val="24"/>
                <w:highlight w:val="none"/>
                <w:vertAlign w:val="baseline"/>
                <w:lang w:val="en-US" w:eastAsia="zh-CN"/>
              </w:rPr>
            </w:pPr>
            <w:r>
              <w:rPr>
                <w:rFonts w:hint="eastAsia" w:ascii="仿宋" w:hAnsi="仿宋" w:eastAsia="仿宋"/>
                <w:color w:val="auto"/>
                <w:sz w:val="24"/>
                <w:highlight w:val="none"/>
                <w:vertAlign w:val="baseline"/>
                <w:lang w:eastAsia="zh-CN"/>
              </w:rPr>
              <w:t>约</w:t>
            </w:r>
            <w:r>
              <w:rPr>
                <w:rFonts w:hint="eastAsia" w:ascii="仿宋" w:hAnsi="仿宋" w:eastAsia="仿宋"/>
                <w:color w:val="auto"/>
                <w:sz w:val="24"/>
                <w:highlight w:val="none"/>
                <w:vertAlign w:val="baseline"/>
                <w:lang w:val="en-US" w:eastAsia="zh-CN"/>
              </w:rPr>
              <w:t>6</w:t>
            </w:r>
          </w:p>
        </w:tc>
        <w:tc>
          <w:tcPr>
            <w:tcW w:w="886" w:type="dxa"/>
            <w:vAlign w:val="center"/>
          </w:tcPr>
          <w:p>
            <w:pPr>
              <w:jc w:val="center"/>
              <w:rPr>
                <w:rFonts w:hint="default" w:ascii="仿宋" w:hAnsi="仿宋" w:eastAsia="仿宋"/>
                <w:color w:val="auto"/>
                <w:sz w:val="24"/>
                <w:highlight w:val="none"/>
                <w:vertAlign w:val="baseline"/>
                <w:lang w:val="en-US" w:eastAsia="zh-CN"/>
              </w:rPr>
            </w:pPr>
          </w:p>
        </w:tc>
        <w:tc>
          <w:tcPr>
            <w:tcW w:w="803" w:type="dxa"/>
            <w:vAlign w:val="center"/>
          </w:tcPr>
          <w:p>
            <w:pPr>
              <w:jc w:val="center"/>
              <w:rPr>
                <w:rFonts w:hint="eastAsia" w:ascii="仿宋" w:hAnsi="仿宋" w:eastAsia="仿宋"/>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70" w:type="dxa"/>
            <w:vAlign w:val="center"/>
          </w:tcPr>
          <w:p>
            <w:pPr>
              <w:jc w:val="center"/>
              <w:rPr>
                <w:rFonts w:hint="eastAsia" w:ascii="仿宋" w:hAnsi="仿宋" w:eastAsia="仿宋"/>
                <w:color w:val="auto"/>
                <w:sz w:val="24"/>
                <w:highlight w:val="none"/>
                <w:vertAlign w:val="baseline"/>
                <w:lang w:val="en-US" w:eastAsia="zh-CN"/>
              </w:rPr>
            </w:pPr>
            <w:r>
              <w:rPr>
                <w:rFonts w:hint="eastAsia" w:ascii="仿宋" w:hAnsi="仿宋" w:eastAsia="仿宋"/>
                <w:color w:val="auto"/>
                <w:sz w:val="24"/>
                <w:highlight w:val="none"/>
                <w:vertAlign w:val="baseline"/>
                <w:lang w:val="en-US" w:eastAsia="zh-CN"/>
              </w:rPr>
              <w:t>3</w:t>
            </w:r>
          </w:p>
        </w:tc>
        <w:tc>
          <w:tcPr>
            <w:tcW w:w="1496" w:type="dxa"/>
            <w:vAlign w:val="center"/>
          </w:tcPr>
          <w:p>
            <w:pPr>
              <w:jc w:val="center"/>
              <w:rPr>
                <w:rFonts w:hint="eastAsia" w:ascii="仿宋" w:hAnsi="仿宋" w:eastAsia="仿宋"/>
                <w:color w:val="auto"/>
                <w:sz w:val="21"/>
                <w:szCs w:val="21"/>
                <w:highlight w:val="none"/>
                <w:vertAlign w:val="baseline"/>
                <w:lang w:eastAsia="zh-CN"/>
              </w:rPr>
            </w:pPr>
            <w:r>
              <w:rPr>
                <w:rFonts w:hint="default" w:ascii="仿宋" w:hAnsi="仿宋" w:eastAsia="仿宋"/>
                <w:color w:val="auto"/>
                <w:sz w:val="21"/>
                <w:szCs w:val="21"/>
                <w:highlight w:val="none"/>
                <w:vertAlign w:val="baseline"/>
                <w:lang w:val="en-US" w:eastAsia="zh-CN"/>
              </w:rPr>
              <w:t>废化学试剂处置服务</w:t>
            </w:r>
          </w:p>
        </w:tc>
        <w:tc>
          <w:tcPr>
            <w:tcW w:w="2535" w:type="dxa"/>
            <w:vAlign w:val="center"/>
          </w:tcPr>
          <w:p>
            <w:pPr>
              <w:jc w:val="left"/>
              <w:rPr>
                <w:rFonts w:hint="eastAsia" w:ascii="仿宋" w:hAnsi="仿宋" w:eastAsia="仿宋"/>
                <w:color w:val="auto"/>
                <w:sz w:val="21"/>
                <w:szCs w:val="21"/>
                <w:highlight w:val="none"/>
                <w:vertAlign w:val="baseline"/>
              </w:rPr>
            </w:pPr>
            <w:r>
              <w:rPr>
                <w:rFonts w:hint="eastAsia" w:ascii="仿宋" w:hAnsi="仿宋" w:eastAsia="仿宋"/>
                <w:color w:val="auto"/>
                <w:sz w:val="21"/>
                <w:szCs w:val="21"/>
                <w:highlight w:val="none"/>
                <w:vertAlign w:val="baseline"/>
              </w:rPr>
              <w:t>过期或失效的化学和生物制剂的处置</w:t>
            </w:r>
          </w:p>
        </w:tc>
        <w:tc>
          <w:tcPr>
            <w:tcW w:w="831" w:type="dxa"/>
            <w:vAlign w:val="center"/>
          </w:tcPr>
          <w:p>
            <w:pPr>
              <w:keepNext w:val="0"/>
              <w:keepLines w:val="0"/>
              <w:widowControl/>
              <w:suppressLineNumbers w:val="0"/>
              <w:jc w:val="center"/>
              <w:textAlignment w:val="center"/>
              <w:rPr>
                <w:rFonts w:hint="eastAsia" w:ascii="仿宋" w:hAnsi="仿宋" w:eastAsia="仿宋"/>
                <w:b w:val="0"/>
                <w:bCs w:val="0"/>
                <w:color w:val="auto"/>
                <w:sz w:val="21"/>
                <w:szCs w:val="21"/>
                <w:highlight w:val="none"/>
                <w:vertAlign w:val="baseline"/>
              </w:rPr>
            </w:pPr>
            <w:r>
              <w:rPr>
                <w:rFonts w:hint="eastAsia" w:ascii="仿宋_GB2312" w:hAnsi="宋体" w:eastAsia="仿宋_GB2312" w:cs="仿宋_GB2312"/>
                <w:b w:val="0"/>
                <w:bCs w:val="0"/>
                <w:i w:val="0"/>
                <w:iCs w:val="0"/>
                <w:color w:val="auto"/>
                <w:kern w:val="0"/>
                <w:sz w:val="21"/>
                <w:szCs w:val="21"/>
                <w:highlight w:val="none"/>
                <w:u w:val="none"/>
                <w:lang w:val="en-US" w:eastAsia="zh-CN" w:bidi="ar"/>
              </w:rPr>
              <w:t>吨</w:t>
            </w:r>
          </w:p>
        </w:tc>
        <w:tc>
          <w:tcPr>
            <w:tcW w:w="951" w:type="dxa"/>
            <w:vAlign w:val="center"/>
          </w:tcPr>
          <w:p>
            <w:pPr>
              <w:jc w:val="center"/>
              <w:rPr>
                <w:rFonts w:hint="default" w:ascii="仿宋" w:hAnsi="仿宋" w:eastAsia="仿宋"/>
                <w:color w:val="auto"/>
                <w:sz w:val="24"/>
                <w:highlight w:val="none"/>
                <w:vertAlign w:val="baseline"/>
                <w:lang w:val="en-US" w:eastAsia="zh-CN"/>
              </w:rPr>
            </w:pPr>
            <w:r>
              <w:rPr>
                <w:rFonts w:hint="eastAsia" w:ascii="仿宋" w:hAnsi="仿宋" w:eastAsia="仿宋"/>
                <w:color w:val="auto"/>
                <w:sz w:val="24"/>
                <w:highlight w:val="none"/>
                <w:vertAlign w:val="baseline"/>
                <w:lang w:eastAsia="zh-CN"/>
              </w:rPr>
              <w:t>约</w:t>
            </w:r>
            <w:r>
              <w:rPr>
                <w:rFonts w:hint="eastAsia" w:ascii="仿宋" w:hAnsi="仿宋" w:eastAsia="仿宋"/>
                <w:color w:val="auto"/>
                <w:sz w:val="24"/>
                <w:highlight w:val="none"/>
                <w:vertAlign w:val="baseline"/>
                <w:lang w:val="en-US" w:eastAsia="zh-CN"/>
              </w:rPr>
              <w:t>3</w:t>
            </w:r>
          </w:p>
        </w:tc>
        <w:tc>
          <w:tcPr>
            <w:tcW w:w="886" w:type="dxa"/>
            <w:vAlign w:val="center"/>
          </w:tcPr>
          <w:p>
            <w:pPr>
              <w:jc w:val="center"/>
              <w:rPr>
                <w:rFonts w:hint="default" w:ascii="仿宋" w:hAnsi="仿宋" w:eastAsia="仿宋"/>
                <w:color w:val="auto"/>
                <w:sz w:val="24"/>
                <w:highlight w:val="none"/>
                <w:vertAlign w:val="baseline"/>
                <w:lang w:val="en-US" w:eastAsia="zh-CN"/>
              </w:rPr>
            </w:pPr>
          </w:p>
        </w:tc>
        <w:tc>
          <w:tcPr>
            <w:tcW w:w="803" w:type="dxa"/>
            <w:vAlign w:val="center"/>
          </w:tcPr>
          <w:p>
            <w:pPr>
              <w:jc w:val="center"/>
              <w:rPr>
                <w:rFonts w:hint="eastAsia" w:ascii="仿宋" w:hAnsi="仿宋" w:eastAsia="仿宋"/>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jc w:val="center"/>
              <w:rPr>
                <w:rFonts w:hint="eastAsia" w:ascii="仿宋" w:hAnsi="仿宋" w:eastAsia="仿宋"/>
                <w:color w:val="auto"/>
                <w:sz w:val="24"/>
                <w:highlight w:val="none"/>
                <w:vertAlign w:val="baseline"/>
                <w:lang w:val="en-US" w:eastAsia="zh-CN"/>
              </w:rPr>
            </w:pPr>
            <w:r>
              <w:rPr>
                <w:rFonts w:hint="eastAsia" w:ascii="仿宋" w:hAnsi="仿宋" w:eastAsia="仿宋"/>
                <w:color w:val="auto"/>
                <w:sz w:val="24"/>
                <w:highlight w:val="none"/>
                <w:vertAlign w:val="baseline"/>
                <w:lang w:val="en-US" w:eastAsia="zh-CN"/>
              </w:rPr>
              <w:t>4</w:t>
            </w:r>
          </w:p>
        </w:tc>
        <w:tc>
          <w:tcPr>
            <w:tcW w:w="1496" w:type="dxa"/>
            <w:vAlign w:val="center"/>
          </w:tcPr>
          <w:p>
            <w:pPr>
              <w:jc w:val="center"/>
              <w:rPr>
                <w:rFonts w:hint="eastAsia" w:ascii="仿宋" w:hAnsi="仿宋" w:eastAsia="仿宋"/>
                <w:color w:val="auto"/>
                <w:sz w:val="21"/>
                <w:szCs w:val="21"/>
                <w:highlight w:val="none"/>
                <w:vertAlign w:val="baseline"/>
                <w:lang w:eastAsia="zh-CN"/>
              </w:rPr>
            </w:pPr>
            <w:r>
              <w:rPr>
                <w:rFonts w:hint="default" w:ascii="仿宋" w:hAnsi="仿宋" w:eastAsia="仿宋"/>
                <w:color w:val="auto"/>
                <w:sz w:val="21"/>
                <w:szCs w:val="21"/>
                <w:highlight w:val="none"/>
                <w:vertAlign w:val="baseline"/>
                <w:lang w:val="en-US" w:eastAsia="zh-CN"/>
              </w:rPr>
              <w:t>实验室危废转移运输费</w:t>
            </w:r>
          </w:p>
        </w:tc>
        <w:tc>
          <w:tcPr>
            <w:tcW w:w="2535" w:type="dxa"/>
            <w:vAlign w:val="center"/>
          </w:tcPr>
          <w:p>
            <w:pPr>
              <w:jc w:val="left"/>
              <w:rPr>
                <w:rFonts w:hint="eastAsia" w:ascii="仿宋" w:hAnsi="仿宋" w:eastAsia="仿宋"/>
                <w:color w:val="auto"/>
                <w:sz w:val="21"/>
                <w:szCs w:val="21"/>
                <w:highlight w:val="none"/>
                <w:vertAlign w:val="baseline"/>
              </w:rPr>
            </w:pPr>
            <w:r>
              <w:rPr>
                <w:rFonts w:hint="eastAsia" w:ascii="仿宋" w:hAnsi="仿宋" w:eastAsia="仿宋"/>
                <w:color w:val="auto"/>
                <w:sz w:val="21"/>
                <w:szCs w:val="21"/>
                <w:highlight w:val="none"/>
                <w:vertAlign w:val="baseline"/>
              </w:rPr>
              <w:t>主要包括将实验室内产生的实验室废弃物转运至中标单位危废暂存点所产生的运输费。</w:t>
            </w:r>
          </w:p>
          <w:p>
            <w:pPr>
              <w:jc w:val="left"/>
              <w:rPr>
                <w:rFonts w:hint="eastAsia" w:ascii="仿宋" w:hAnsi="仿宋" w:eastAsia="仿宋"/>
                <w:color w:val="auto"/>
                <w:sz w:val="21"/>
                <w:szCs w:val="21"/>
                <w:highlight w:val="none"/>
                <w:vertAlign w:val="baseline"/>
                <w:lang w:eastAsia="zh-CN"/>
              </w:rPr>
            </w:pPr>
            <w:r>
              <w:rPr>
                <w:rFonts w:hint="eastAsia" w:ascii="仿宋" w:hAnsi="仿宋" w:eastAsia="仿宋"/>
                <w:color w:val="auto"/>
                <w:sz w:val="21"/>
                <w:szCs w:val="21"/>
                <w:highlight w:val="none"/>
                <w:vertAlign w:val="baseline"/>
              </w:rPr>
              <w:t>正常情况下每两周运输1次，特殊情况下可协调适当增加运输次数。</w:t>
            </w:r>
          </w:p>
        </w:tc>
        <w:tc>
          <w:tcPr>
            <w:tcW w:w="831" w:type="dxa"/>
            <w:vAlign w:val="center"/>
          </w:tcPr>
          <w:p>
            <w:pPr>
              <w:keepNext w:val="0"/>
              <w:keepLines w:val="0"/>
              <w:widowControl/>
              <w:suppressLineNumbers w:val="0"/>
              <w:jc w:val="center"/>
              <w:textAlignment w:val="center"/>
              <w:rPr>
                <w:rFonts w:hint="eastAsia" w:ascii="仿宋" w:hAnsi="仿宋" w:eastAsia="仿宋"/>
                <w:b w:val="0"/>
                <w:bCs w:val="0"/>
                <w:color w:val="auto"/>
                <w:sz w:val="21"/>
                <w:szCs w:val="21"/>
                <w:highlight w:val="none"/>
                <w:vertAlign w:val="baseline"/>
              </w:rPr>
            </w:pPr>
            <w:r>
              <w:rPr>
                <w:rFonts w:hint="eastAsia" w:ascii="仿宋_GB2312" w:hAnsi="宋体" w:eastAsia="仿宋_GB2312" w:cs="仿宋_GB2312"/>
                <w:b w:val="0"/>
                <w:bCs w:val="0"/>
                <w:i w:val="0"/>
                <w:iCs w:val="0"/>
                <w:color w:val="auto"/>
                <w:kern w:val="0"/>
                <w:sz w:val="21"/>
                <w:szCs w:val="21"/>
                <w:highlight w:val="none"/>
                <w:u w:val="none"/>
                <w:lang w:val="en-US" w:eastAsia="zh-CN" w:bidi="ar"/>
              </w:rPr>
              <w:t>次</w:t>
            </w:r>
          </w:p>
        </w:tc>
        <w:tc>
          <w:tcPr>
            <w:tcW w:w="951" w:type="dxa"/>
            <w:vAlign w:val="center"/>
          </w:tcPr>
          <w:p>
            <w:pPr>
              <w:jc w:val="center"/>
              <w:rPr>
                <w:rFonts w:hint="default" w:ascii="仿宋" w:hAnsi="仿宋" w:eastAsia="仿宋"/>
                <w:color w:val="auto"/>
                <w:sz w:val="24"/>
                <w:highlight w:val="none"/>
                <w:vertAlign w:val="baseline"/>
                <w:lang w:val="en-US" w:eastAsia="zh-CN"/>
              </w:rPr>
            </w:pPr>
            <w:r>
              <w:rPr>
                <w:rFonts w:hint="eastAsia" w:ascii="仿宋" w:hAnsi="仿宋" w:eastAsia="仿宋"/>
                <w:color w:val="auto"/>
                <w:sz w:val="24"/>
                <w:highlight w:val="none"/>
                <w:vertAlign w:val="baseline"/>
                <w:lang w:eastAsia="zh-CN"/>
              </w:rPr>
              <w:t>约</w:t>
            </w:r>
            <w:r>
              <w:rPr>
                <w:rFonts w:hint="eastAsia" w:ascii="仿宋" w:hAnsi="仿宋" w:eastAsia="仿宋"/>
                <w:color w:val="auto"/>
                <w:sz w:val="24"/>
                <w:highlight w:val="none"/>
                <w:vertAlign w:val="baseline"/>
                <w:lang w:val="en-US" w:eastAsia="zh-CN"/>
              </w:rPr>
              <w:t>20</w:t>
            </w:r>
          </w:p>
        </w:tc>
        <w:tc>
          <w:tcPr>
            <w:tcW w:w="886" w:type="dxa"/>
            <w:vAlign w:val="center"/>
          </w:tcPr>
          <w:p>
            <w:pPr>
              <w:jc w:val="center"/>
              <w:rPr>
                <w:rFonts w:hint="default" w:ascii="仿宋" w:hAnsi="仿宋" w:eastAsia="仿宋"/>
                <w:color w:val="auto"/>
                <w:sz w:val="24"/>
                <w:highlight w:val="none"/>
                <w:vertAlign w:val="baseline"/>
                <w:lang w:val="en-US" w:eastAsia="zh-CN"/>
              </w:rPr>
            </w:pPr>
          </w:p>
        </w:tc>
        <w:tc>
          <w:tcPr>
            <w:tcW w:w="803" w:type="dxa"/>
            <w:vAlign w:val="center"/>
          </w:tcPr>
          <w:p>
            <w:pPr>
              <w:jc w:val="center"/>
              <w:rPr>
                <w:rFonts w:hint="default" w:ascii="仿宋" w:hAnsi="仿宋" w:eastAsia="仿宋"/>
                <w:color w:val="auto"/>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jc w:val="center"/>
              <w:rPr>
                <w:rFonts w:hint="eastAsia" w:ascii="仿宋" w:hAnsi="仿宋" w:eastAsia="仿宋"/>
                <w:color w:val="auto"/>
                <w:sz w:val="24"/>
                <w:highlight w:val="none"/>
                <w:vertAlign w:val="baseline"/>
                <w:lang w:val="en-US" w:eastAsia="zh-CN"/>
              </w:rPr>
            </w:pPr>
            <w:r>
              <w:rPr>
                <w:rFonts w:hint="eastAsia" w:ascii="仿宋" w:hAnsi="仿宋" w:eastAsia="仿宋"/>
                <w:color w:val="auto"/>
                <w:sz w:val="24"/>
                <w:highlight w:val="none"/>
                <w:vertAlign w:val="baseline"/>
                <w:lang w:val="en-US" w:eastAsia="zh-CN"/>
              </w:rPr>
              <w:t>5</w:t>
            </w:r>
          </w:p>
        </w:tc>
        <w:tc>
          <w:tcPr>
            <w:tcW w:w="1496" w:type="dxa"/>
            <w:vAlign w:val="center"/>
          </w:tcPr>
          <w:p>
            <w:pPr>
              <w:jc w:val="center"/>
              <w:rPr>
                <w:rFonts w:hint="eastAsia" w:ascii="仿宋" w:hAnsi="仿宋" w:eastAsia="仿宋"/>
                <w:color w:val="auto"/>
                <w:sz w:val="21"/>
                <w:szCs w:val="21"/>
                <w:highlight w:val="none"/>
                <w:vertAlign w:val="baseline"/>
                <w:lang w:eastAsia="zh-CN"/>
              </w:rPr>
            </w:pPr>
            <w:r>
              <w:rPr>
                <w:rFonts w:hint="default" w:ascii="仿宋" w:hAnsi="仿宋" w:eastAsia="仿宋"/>
                <w:color w:val="auto"/>
                <w:sz w:val="21"/>
                <w:szCs w:val="21"/>
                <w:highlight w:val="none"/>
                <w:vertAlign w:val="baseline"/>
                <w:lang w:val="en-US" w:eastAsia="zh-CN"/>
              </w:rPr>
              <w:t>浙江省固体废物监管信息系统的管理服务</w:t>
            </w:r>
          </w:p>
        </w:tc>
        <w:tc>
          <w:tcPr>
            <w:tcW w:w="2535" w:type="dxa"/>
            <w:vAlign w:val="center"/>
          </w:tcPr>
          <w:p>
            <w:pPr>
              <w:jc w:val="left"/>
              <w:rPr>
                <w:rFonts w:hint="eastAsia" w:ascii="仿宋" w:hAnsi="仿宋" w:eastAsia="仿宋"/>
                <w:color w:val="auto"/>
                <w:sz w:val="21"/>
                <w:szCs w:val="21"/>
                <w:highlight w:val="none"/>
                <w:vertAlign w:val="baseline"/>
              </w:rPr>
            </w:pPr>
            <w:r>
              <w:rPr>
                <w:rFonts w:hint="eastAsia" w:ascii="仿宋" w:hAnsi="仿宋" w:eastAsia="仿宋"/>
                <w:color w:val="auto"/>
                <w:sz w:val="21"/>
                <w:szCs w:val="21"/>
                <w:highlight w:val="none"/>
                <w:vertAlign w:val="baseline"/>
              </w:rPr>
              <w:t>负责湖州师范学院在浙江省固体废物监管信息系统的相关管理服务，包括联单填报、年度计划、信息填报上传、系统更新维护；以及危废转运现场指导与服务等。</w:t>
            </w:r>
          </w:p>
        </w:tc>
        <w:tc>
          <w:tcPr>
            <w:tcW w:w="831" w:type="dxa"/>
            <w:vAlign w:val="center"/>
          </w:tcPr>
          <w:p>
            <w:pPr>
              <w:keepNext w:val="0"/>
              <w:keepLines w:val="0"/>
              <w:widowControl/>
              <w:suppressLineNumbers w:val="0"/>
              <w:jc w:val="center"/>
              <w:textAlignment w:val="center"/>
              <w:rPr>
                <w:rFonts w:hint="eastAsia" w:ascii="仿宋" w:hAnsi="仿宋" w:eastAsia="仿宋"/>
                <w:b w:val="0"/>
                <w:bCs w:val="0"/>
                <w:color w:val="auto"/>
                <w:sz w:val="21"/>
                <w:szCs w:val="21"/>
                <w:highlight w:val="none"/>
                <w:vertAlign w:val="baseline"/>
              </w:rPr>
            </w:pPr>
            <w:r>
              <w:rPr>
                <w:rFonts w:hint="default" w:ascii="仿宋_GB2312" w:hAnsi="宋体" w:eastAsia="仿宋_GB2312" w:cs="仿宋_GB2312"/>
                <w:b w:val="0"/>
                <w:bCs w:val="0"/>
                <w:i w:val="0"/>
                <w:iCs w:val="0"/>
                <w:color w:val="auto"/>
                <w:kern w:val="0"/>
                <w:sz w:val="21"/>
                <w:szCs w:val="21"/>
                <w:highlight w:val="none"/>
                <w:u w:val="none"/>
                <w:lang w:val="en-US" w:eastAsia="zh-CN" w:bidi="ar"/>
              </w:rPr>
              <w:t>年</w:t>
            </w:r>
          </w:p>
        </w:tc>
        <w:tc>
          <w:tcPr>
            <w:tcW w:w="951" w:type="dxa"/>
            <w:vAlign w:val="center"/>
          </w:tcPr>
          <w:p>
            <w:pPr>
              <w:jc w:val="center"/>
              <w:rPr>
                <w:rFonts w:hint="eastAsia" w:ascii="仿宋" w:hAnsi="仿宋" w:eastAsia="仿宋"/>
                <w:color w:val="auto"/>
                <w:sz w:val="24"/>
                <w:highlight w:val="none"/>
                <w:vertAlign w:val="baseline"/>
                <w:lang w:val="en-US" w:eastAsia="zh-CN"/>
              </w:rPr>
            </w:pPr>
            <w:r>
              <w:rPr>
                <w:rFonts w:hint="eastAsia" w:ascii="仿宋" w:hAnsi="仿宋" w:eastAsia="仿宋"/>
                <w:color w:val="auto"/>
                <w:sz w:val="24"/>
                <w:highlight w:val="none"/>
                <w:vertAlign w:val="baseline"/>
                <w:lang w:val="en-US" w:eastAsia="zh-CN"/>
              </w:rPr>
              <w:t>1</w:t>
            </w:r>
          </w:p>
        </w:tc>
        <w:tc>
          <w:tcPr>
            <w:tcW w:w="886" w:type="dxa"/>
            <w:vAlign w:val="center"/>
          </w:tcPr>
          <w:p>
            <w:pPr>
              <w:jc w:val="center"/>
              <w:rPr>
                <w:rFonts w:hint="default" w:ascii="仿宋" w:hAnsi="仿宋" w:eastAsia="仿宋"/>
                <w:color w:val="auto"/>
                <w:sz w:val="24"/>
                <w:highlight w:val="none"/>
                <w:vertAlign w:val="baseline"/>
                <w:lang w:val="en-US" w:eastAsia="zh-CN"/>
              </w:rPr>
            </w:pPr>
          </w:p>
        </w:tc>
        <w:tc>
          <w:tcPr>
            <w:tcW w:w="803" w:type="dxa"/>
            <w:vAlign w:val="center"/>
          </w:tcPr>
          <w:p>
            <w:pPr>
              <w:jc w:val="center"/>
              <w:rPr>
                <w:rFonts w:hint="default" w:ascii="仿宋" w:hAnsi="仿宋" w:eastAsia="仿宋"/>
                <w:color w:val="auto"/>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jc w:val="center"/>
              <w:rPr>
                <w:rFonts w:hint="default" w:ascii="仿宋" w:hAnsi="仿宋" w:eastAsia="仿宋"/>
                <w:color w:val="auto"/>
                <w:sz w:val="24"/>
                <w:highlight w:val="none"/>
                <w:vertAlign w:val="baseline"/>
                <w:lang w:val="en-US" w:eastAsia="zh-CN"/>
              </w:rPr>
            </w:pPr>
            <w:r>
              <w:rPr>
                <w:rFonts w:hint="eastAsia" w:ascii="仿宋" w:hAnsi="仿宋" w:eastAsia="仿宋"/>
                <w:color w:val="auto"/>
                <w:sz w:val="24"/>
                <w:highlight w:val="none"/>
                <w:vertAlign w:val="baseline"/>
                <w:lang w:val="en-US" w:eastAsia="zh-CN"/>
              </w:rPr>
              <w:t>6</w:t>
            </w:r>
          </w:p>
        </w:tc>
        <w:tc>
          <w:tcPr>
            <w:tcW w:w="1496" w:type="dxa"/>
            <w:vAlign w:val="center"/>
          </w:tcPr>
          <w:p>
            <w:pPr>
              <w:jc w:val="center"/>
              <w:rPr>
                <w:rFonts w:hint="eastAsia" w:ascii="仿宋" w:hAnsi="仿宋" w:eastAsia="仿宋"/>
                <w:color w:val="auto"/>
                <w:sz w:val="21"/>
                <w:szCs w:val="21"/>
                <w:highlight w:val="none"/>
                <w:vertAlign w:val="baseline"/>
                <w:lang w:eastAsia="zh-CN"/>
              </w:rPr>
            </w:pPr>
            <w:r>
              <w:rPr>
                <w:rFonts w:hint="default" w:ascii="仿宋" w:hAnsi="仿宋" w:eastAsia="仿宋"/>
                <w:color w:val="auto"/>
                <w:sz w:val="21"/>
                <w:szCs w:val="21"/>
                <w:highlight w:val="none"/>
                <w:vertAlign w:val="baseline"/>
                <w:lang w:val="en-US" w:eastAsia="zh-CN"/>
              </w:rPr>
              <w:t>实验室危废收运贮处一体化系统管理服务费</w:t>
            </w:r>
          </w:p>
        </w:tc>
        <w:tc>
          <w:tcPr>
            <w:tcW w:w="2535" w:type="dxa"/>
            <w:vAlign w:val="center"/>
          </w:tcPr>
          <w:p>
            <w:pPr>
              <w:jc w:val="left"/>
              <w:rPr>
                <w:rFonts w:hint="eastAsia" w:ascii="仿宋" w:hAnsi="仿宋" w:eastAsia="仿宋"/>
                <w:color w:val="auto"/>
                <w:sz w:val="21"/>
                <w:szCs w:val="21"/>
                <w:highlight w:val="none"/>
                <w:vertAlign w:val="baseline"/>
              </w:rPr>
            </w:pPr>
            <w:r>
              <w:rPr>
                <w:rFonts w:hint="eastAsia" w:ascii="仿宋" w:hAnsi="仿宋" w:eastAsia="仿宋"/>
                <w:color w:val="auto"/>
                <w:sz w:val="21"/>
                <w:szCs w:val="21"/>
                <w:highlight w:val="none"/>
                <w:vertAlign w:val="baseline"/>
              </w:rPr>
              <w:t>主要包括承担转运服务项目内容内的废弃物搬运、装车服务，转存地的场地费、人工费、设备费、管理费等，还包含提供相应的技术及服务支撑等。</w:t>
            </w:r>
          </w:p>
        </w:tc>
        <w:tc>
          <w:tcPr>
            <w:tcW w:w="831" w:type="dxa"/>
            <w:vAlign w:val="center"/>
          </w:tcPr>
          <w:p>
            <w:pPr>
              <w:keepNext w:val="0"/>
              <w:keepLines w:val="0"/>
              <w:widowControl/>
              <w:suppressLineNumbers w:val="0"/>
              <w:jc w:val="center"/>
              <w:textAlignment w:val="center"/>
              <w:rPr>
                <w:rFonts w:hint="eastAsia" w:ascii="仿宋" w:hAnsi="仿宋" w:eastAsia="仿宋"/>
                <w:b w:val="0"/>
                <w:bCs w:val="0"/>
                <w:color w:val="auto"/>
                <w:sz w:val="21"/>
                <w:szCs w:val="21"/>
                <w:highlight w:val="none"/>
                <w:vertAlign w:val="baseline"/>
              </w:rPr>
            </w:pPr>
            <w:r>
              <w:rPr>
                <w:rFonts w:hint="eastAsia" w:ascii="仿宋_GB2312" w:hAnsi="宋体" w:eastAsia="仿宋_GB2312" w:cs="仿宋_GB2312"/>
                <w:b w:val="0"/>
                <w:bCs w:val="0"/>
                <w:i w:val="0"/>
                <w:iCs w:val="0"/>
                <w:color w:val="auto"/>
                <w:kern w:val="0"/>
                <w:sz w:val="21"/>
                <w:szCs w:val="21"/>
                <w:highlight w:val="none"/>
                <w:u w:val="none"/>
                <w:lang w:val="en-US" w:eastAsia="zh-CN" w:bidi="ar"/>
              </w:rPr>
              <w:t>年</w:t>
            </w:r>
          </w:p>
        </w:tc>
        <w:tc>
          <w:tcPr>
            <w:tcW w:w="951" w:type="dxa"/>
            <w:vAlign w:val="center"/>
          </w:tcPr>
          <w:p>
            <w:pPr>
              <w:jc w:val="center"/>
              <w:rPr>
                <w:rFonts w:hint="eastAsia" w:ascii="仿宋" w:hAnsi="仿宋" w:eastAsia="仿宋"/>
                <w:color w:val="auto"/>
                <w:sz w:val="24"/>
                <w:highlight w:val="none"/>
                <w:vertAlign w:val="baseline"/>
                <w:lang w:val="en-US" w:eastAsia="zh-CN"/>
              </w:rPr>
            </w:pPr>
            <w:r>
              <w:rPr>
                <w:rFonts w:hint="eastAsia" w:ascii="仿宋" w:hAnsi="仿宋" w:eastAsia="仿宋"/>
                <w:color w:val="auto"/>
                <w:sz w:val="24"/>
                <w:highlight w:val="none"/>
                <w:vertAlign w:val="baseline"/>
                <w:lang w:val="en-US" w:eastAsia="zh-CN"/>
              </w:rPr>
              <w:t>1</w:t>
            </w:r>
          </w:p>
        </w:tc>
        <w:tc>
          <w:tcPr>
            <w:tcW w:w="886" w:type="dxa"/>
            <w:vAlign w:val="center"/>
          </w:tcPr>
          <w:p>
            <w:pPr>
              <w:jc w:val="center"/>
              <w:rPr>
                <w:rFonts w:hint="default" w:ascii="仿宋" w:hAnsi="仿宋" w:eastAsia="仿宋"/>
                <w:color w:val="auto"/>
                <w:sz w:val="24"/>
                <w:highlight w:val="none"/>
                <w:vertAlign w:val="baseline"/>
                <w:lang w:val="en-US" w:eastAsia="zh-CN"/>
              </w:rPr>
            </w:pPr>
          </w:p>
        </w:tc>
        <w:tc>
          <w:tcPr>
            <w:tcW w:w="803" w:type="dxa"/>
            <w:vAlign w:val="center"/>
          </w:tcPr>
          <w:p>
            <w:pPr>
              <w:jc w:val="center"/>
              <w:rPr>
                <w:rFonts w:hint="default" w:ascii="仿宋" w:hAnsi="仿宋" w:eastAsia="仿宋"/>
                <w:color w:val="auto"/>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5632" w:type="dxa"/>
            <w:gridSpan w:val="4"/>
            <w:vAlign w:val="center"/>
          </w:tcPr>
          <w:p>
            <w:pPr>
              <w:keepNext w:val="0"/>
              <w:keepLines w:val="0"/>
              <w:widowControl/>
              <w:suppressLineNumbers w:val="0"/>
              <w:jc w:val="center"/>
              <w:textAlignment w:val="center"/>
              <w:rPr>
                <w:rFonts w:hint="default" w:ascii="仿宋_GB2312" w:hAnsi="宋体" w:eastAsia="仿宋_GB2312" w:cs="仿宋_GB2312"/>
                <w:b w:val="0"/>
                <w:bCs w:val="0"/>
                <w:i w:val="0"/>
                <w:iCs w:val="0"/>
                <w:color w:val="auto"/>
                <w:kern w:val="0"/>
                <w:sz w:val="21"/>
                <w:szCs w:val="21"/>
                <w:highlight w:val="none"/>
                <w:u w:val="single"/>
                <w:lang w:val="en-US" w:eastAsia="zh-CN" w:bidi="ar"/>
              </w:rPr>
            </w:pPr>
            <w:r>
              <w:rPr>
                <w:rFonts w:hint="eastAsia" w:ascii="仿宋" w:hAnsi="仿宋" w:eastAsia="仿宋"/>
                <w:color w:val="auto"/>
                <w:sz w:val="24"/>
                <w:highlight w:val="none"/>
                <w:u w:val="none"/>
                <w:vertAlign w:val="baseline"/>
                <w:lang w:val="en-US" w:eastAsia="zh-CN"/>
              </w:rPr>
              <w:t>合计：人民币</w:t>
            </w:r>
            <w:r>
              <w:rPr>
                <w:rFonts w:hint="eastAsia" w:ascii="仿宋" w:hAnsi="仿宋" w:eastAsia="仿宋"/>
                <w:color w:val="auto"/>
                <w:sz w:val="24"/>
                <w:highlight w:val="none"/>
                <w:u w:val="single"/>
                <w:vertAlign w:val="baseline"/>
                <w:lang w:val="en-US" w:eastAsia="zh-CN"/>
              </w:rPr>
              <w:t xml:space="preserve">               </w:t>
            </w:r>
            <w:r>
              <w:rPr>
                <w:rFonts w:hint="eastAsia" w:ascii="仿宋" w:hAnsi="仿宋" w:eastAsia="仿宋"/>
                <w:color w:val="auto"/>
                <w:sz w:val="24"/>
                <w:highlight w:val="none"/>
                <w:u w:val="none"/>
                <w:vertAlign w:val="baseline"/>
                <w:lang w:val="en-US" w:eastAsia="zh-CN"/>
              </w:rPr>
              <w:t>元</w:t>
            </w:r>
          </w:p>
        </w:tc>
        <w:tc>
          <w:tcPr>
            <w:tcW w:w="2640" w:type="dxa"/>
            <w:gridSpan w:val="3"/>
            <w:vAlign w:val="center"/>
          </w:tcPr>
          <w:p>
            <w:pPr>
              <w:jc w:val="center"/>
              <w:rPr>
                <w:rFonts w:hint="default" w:ascii="仿宋" w:hAnsi="仿宋" w:eastAsia="仿宋"/>
                <w:color w:val="auto"/>
                <w:sz w:val="24"/>
                <w:highlight w:val="none"/>
                <w:u w:val="single"/>
                <w:vertAlign w:val="baseline"/>
                <w:lang w:val="en-US" w:eastAsia="zh-CN"/>
              </w:rPr>
            </w:pPr>
            <w:r>
              <w:rPr>
                <w:rFonts w:hint="eastAsia" w:ascii="仿宋" w:hAnsi="仿宋" w:eastAsia="仿宋"/>
                <w:color w:val="auto"/>
                <w:sz w:val="24"/>
                <w:highlight w:val="none"/>
                <w:vertAlign w:val="baseline"/>
                <w:lang w:val="en-US" w:eastAsia="zh-CN"/>
              </w:rPr>
              <w:t>￥：</w:t>
            </w:r>
            <w:r>
              <w:rPr>
                <w:rFonts w:hint="eastAsia" w:ascii="仿宋" w:hAnsi="仿宋" w:eastAsia="仿宋"/>
                <w:color w:val="auto"/>
                <w:sz w:val="24"/>
                <w:highlight w:val="none"/>
                <w:u w:val="single"/>
                <w:vertAlign w:val="baseline"/>
                <w:lang w:val="en-US" w:eastAsia="zh-CN"/>
              </w:rPr>
              <w:t xml:space="preserve">            </w:t>
            </w:r>
            <w:r>
              <w:rPr>
                <w:rFonts w:hint="eastAsia" w:ascii="仿宋" w:hAnsi="仿宋" w:eastAsia="仿宋"/>
                <w:color w:val="auto"/>
                <w:sz w:val="24"/>
                <w:highlight w:val="none"/>
                <w:u w:val="none"/>
                <w:vertAlign w:val="baseline"/>
                <w:lang w:val="en-US" w:eastAsia="zh-CN"/>
              </w:rPr>
              <w:t>元</w:t>
            </w:r>
          </w:p>
        </w:tc>
      </w:tr>
    </w:tbl>
    <w:p>
      <w:pPr>
        <w:rPr>
          <w:rFonts w:hint="eastAsia" w:ascii="仿宋" w:hAnsi="仿宋" w:eastAsia="仿宋"/>
          <w:color w:val="auto"/>
          <w:sz w:val="24"/>
          <w:highlight w:val="none"/>
        </w:rPr>
      </w:pPr>
    </w:p>
    <w:p>
      <w:pPr>
        <w:rPr>
          <w:rFonts w:hint="eastAsia" w:ascii="仿宋" w:hAnsi="仿宋" w:eastAsia="仿宋"/>
          <w:color w:val="auto"/>
          <w:sz w:val="24"/>
          <w:highlight w:val="none"/>
        </w:rPr>
      </w:pPr>
    </w:p>
    <w:p>
      <w:pPr>
        <w:rPr>
          <w:rFonts w:hint="eastAsia" w:ascii="仿宋" w:hAnsi="仿宋" w:eastAsia="仿宋"/>
          <w:color w:val="auto"/>
          <w:sz w:val="24"/>
          <w:highlight w:val="none"/>
        </w:rPr>
      </w:pPr>
      <w:r>
        <w:rPr>
          <w:rFonts w:hint="eastAsia" w:ascii="仿宋" w:hAnsi="仿宋" w:eastAsia="仿宋"/>
          <w:color w:val="auto"/>
          <w:sz w:val="24"/>
          <w:highlight w:val="none"/>
        </w:rPr>
        <w:t>授权代表签字：</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 xml:space="preserve">        投标人（公章）：</w:t>
      </w:r>
      <w:r>
        <w:rPr>
          <w:rFonts w:hint="default" w:ascii="仿宋" w:hAnsi="仿宋" w:eastAsia="仿宋"/>
          <w:color w:val="auto"/>
          <w:sz w:val="24"/>
          <w:highlight w:val="none"/>
          <w:u w:val="none"/>
          <w:lang w:val="en-US"/>
        </w:rPr>
        <w:t xml:space="preserve"> </w:t>
      </w:r>
    </w:p>
    <w:p>
      <w:pPr>
        <w:rPr>
          <w:rFonts w:hint="eastAsia" w:ascii="仿宋" w:hAnsi="仿宋" w:eastAsia="仿宋"/>
          <w:color w:val="auto"/>
          <w:sz w:val="24"/>
          <w:highlight w:val="none"/>
        </w:rPr>
      </w:pPr>
    </w:p>
    <w:p>
      <w:pPr>
        <w:rPr>
          <w:rFonts w:hint="default" w:ascii="仿宋" w:hAnsi="仿宋" w:eastAsia="仿宋"/>
          <w:color w:val="auto"/>
          <w:sz w:val="24"/>
          <w:highlight w:val="none"/>
          <w:u w:val="single"/>
          <w:lang w:val="en-US" w:eastAsia="zh-CN"/>
        </w:rPr>
      </w:pPr>
      <w:r>
        <w:rPr>
          <w:rFonts w:hint="eastAsia" w:ascii="仿宋" w:hAnsi="仿宋" w:eastAsia="仿宋"/>
          <w:color w:val="auto"/>
          <w:sz w:val="24"/>
          <w:highlight w:val="none"/>
        </w:rPr>
        <w:t>日</w:t>
      </w:r>
      <w:r>
        <w:rPr>
          <w:rFonts w:hint="default" w:ascii="仿宋" w:hAnsi="仿宋" w:eastAsia="仿宋"/>
          <w:color w:val="auto"/>
          <w:sz w:val="24"/>
          <w:highlight w:val="none"/>
          <w:lang w:val="en-US"/>
        </w:rPr>
        <w:t xml:space="preserve">        </w:t>
      </w:r>
      <w:r>
        <w:rPr>
          <w:rFonts w:hint="eastAsia" w:ascii="仿宋" w:hAnsi="仿宋" w:eastAsia="仿宋"/>
          <w:color w:val="auto"/>
          <w:sz w:val="24"/>
          <w:highlight w:val="none"/>
        </w:rPr>
        <w:t>期：</w:t>
      </w:r>
      <w:r>
        <w:rPr>
          <w:rFonts w:hint="eastAsia" w:ascii="仿宋" w:hAnsi="仿宋" w:eastAsia="仿宋"/>
          <w:color w:val="auto"/>
          <w:sz w:val="24"/>
          <w:highlight w:val="none"/>
          <w:u w:val="single"/>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299622"/>
    </w:sdtPr>
    <w:sdtContent>
      <w:p>
        <w:pPr>
          <w:pStyle w:val="7"/>
          <w:jc w:val="center"/>
        </w:pPr>
        <w:r>
          <w:fldChar w:fldCharType="begin"/>
        </w:r>
        <w:r>
          <w:instrText xml:space="preserve"> PAGE   \* MERGEFORMAT </w:instrText>
        </w:r>
        <w:r>
          <w:fldChar w:fldCharType="separate"/>
        </w:r>
        <w:r>
          <w:rPr>
            <w:lang w:val="zh-CN"/>
          </w:rPr>
          <w:t>18</w:t>
        </w:r>
        <w:r>
          <w:rPr>
            <w:lang w:val="zh-C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0E30D1"/>
    <w:multiLevelType w:val="singleLevel"/>
    <w:tmpl w:val="DA0E30D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RlOGIwZDUyOGViZjVjN2QyMmRmZGYwMjQ3ZGY1MzAifQ=="/>
  </w:docVars>
  <w:rsids>
    <w:rsidRoot w:val="005F79C6"/>
    <w:rsid w:val="0000101B"/>
    <w:rsid w:val="0000344B"/>
    <w:rsid w:val="00037BFF"/>
    <w:rsid w:val="00040727"/>
    <w:rsid w:val="00062004"/>
    <w:rsid w:val="00080227"/>
    <w:rsid w:val="00096D9C"/>
    <w:rsid w:val="000C1608"/>
    <w:rsid w:val="000F2CC8"/>
    <w:rsid w:val="00135363"/>
    <w:rsid w:val="0014339F"/>
    <w:rsid w:val="00172FD3"/>
    <w:rsid w:val="001929ED"/>
    <w:rsid w:val="00193521"/>
    <w:rsid w:val="001B1358"/>
    <w:rsid w:val="001E1EC2"/>
    <w:rsid w:val="001E501C"/>
    <w:rsid w:val="00217F50"/>
    <w:rsid w:val="00224EAF"/>
    <w:rsid w:val="002324DE"/>
    <w:rsid w:val="00247196"/>
    <w:rsid w:val="00261301"/>
    <w:rsid w:val="002673A6"/>
    <w:rsid w:val="002757BC"/>
    <w:rsid w:val="002A0EDF"/>
    <w:rsid w:val="002C07FB"/>
    <w:rsid w:val="002D68AB"/>
    <w:rsid w:val="002F51B7"/>
    <w:rsid w:val="00301360"/>
    <w:rsid w:val="00305B39"/>
    <w:rsid w:val="00333C6F"/>
    <w:rsid w:val="00336305"/>
    <w:rsid w:val="0035464D"/>
    <w:rsid w:val="0036356D"/>
    <w:rsid w:val="003871A6"/>
    <w:rsid w:val="003926C0"/>
    <w:rsid w:val="003D07E1"/>
    <w:rsid w:val="0041574A"/>
    <w:rsid w:val="0041651E"/>
    <w:rsid w:val="00463B0D"/>
    <w:rsid w:val="00464417"/>
    <w:rsid w:val="00464E45"/>
    <w:rsid w:val="004743A6"/>
    <w:rsid w:val="004771E6"/>
    <w:rsid w:val="004916EC"/>
    <w:rsid w:val="004B117E"/>
    <w:rsid w:val="00514CBE"/>
    <w:rsid w:val="005178C9"/>
    <w:rsid w:val="00552964"/>
    <w:rsid w:val="0056747D"/>
    <w:rsid w:val="00572531"/>
    <w:rsid w:val="00575467"/>
    <w:rsid w:val="0058369B"/>
    <w:rsid w:val="00596AD4"/>
    <w:rsid w:val="005A604D"/>
    <w:rsid w:val="005B3C0F"/>
    <w:rsid w:val="005F79C6"/>
    <w:rsid w:val="006110C9"/>
    <w:rsid w:val="00617688"/>
    <w:rsid w:val="00636972"/>
    <w:rsid w:val="006868AF"/>
    <w:rsid w:val="00695F1F"/>
    <w:rsid w:val="006A2FA1"/>
    <w:rsid w:val="006C00D3"/>
    <w:rsid w:val="006F4161"/>
    <w:rsid w:val="006F563E"/>
    <w:rsid w:val="00724DE3"/>
    <w:rsid w:val="007333DD"/>
    <w:rsid w:val="0074168C"/>
    <w:rsid w:val="007801DC"/>
    <w:rsid w:val="007B069C"/>
    <w:rsid w:val="007D744C"/>
    <w:rsid w:val="007F1635"/>
    <w:rsid w:val="007F44A6"/>
    <w:rsid w:val="008021A0"/>
    <w:rsid w:val="00802FD7"/>
    <w:rsid w:val="008171CB"/>
    <w:rsid w:val="00832D44"/>
    <w:rsid w:val="00842E99"/>
    <w:rsid w:val="00860F48"/>
    <w:rsid w:val="00865555"/>
    <w:rsid w:val="00884B9C"/>
    <w:rsid w:val="00886E6D"/>
    <w:rsid w:val="00891B5F"/>
    <w:rsid w:val="008D614F"/>
    <w:rsid w:val="009037BD"/>
    <w:rsid w:val="009511B6"/>
    <w:rsid w:val="009653C3"/>
    <w:rsid w:val="00967075"/>
    <w:rsid w:val="00973234"/>
    <w:rsid w:val="00973402"/>
    <w:rsid w:val="00984C7E"/>
    <w:rsid w:val="009859CA"/>
    <w:rsid w:val="009A10B8"/>
    <w:rsid w:val="009A3BA5"/>
    <w:rsid w:val="009D38F7"/>
    <w:rsid w:val="009F25FD"/>
    <w:rsid w:val="00A03183"/>
    <w:rsid w:val="00A04891"/>
    <w:rsid w:val="00A214FF"/>
    <w:rsid w:val="00A277B4"/>
    <w:rsid w:val="00A505B1"/>
    <w:rsid w:val="00AC6DDF"/>
    <w:rsid w:val="00B1176F"/>
    <w:rsid w:val="00B15E3D"/>
    <w:rsid w:val="00B2132D"/>
    <w:rsid w:val="00B2222E"/>
    <w:rsid w:val="00B40088"/>
    <w:rsid w:val="00B43ED9"/>
    <w:rsid w:val="00B45A2C"/>
    <w:rsid w:val="00B53643"/>
    <w:rsid w:val="00B63316"/>
    <w:rsid w:val="00B76176"/>
    <w:rsid w:val="00B768FA"/>
    <w:rsid w:val="00BA4DF7"/>
    <w:rsid w:val="00BA7478"/>
    <w:rsid w:val="00BF5CFA"/>
    <w:rsid w:val="00C043C9"/>
    <w:rsid w:val="00C27D1F"/>
    <w:rsid w:val="00C32334"/>
    <w:rsid w:val="00C439F6"/>
    <w:rsid w:val="00C44089"/>
    <w:rsid w:val="00C820D6"/>
    <w:rsid w:val="00C84FC9"/>
    <w:rsid w:val="00C86509"/>
    <w:rsid w:val="00C90129"/>
    <w:rsid w:val="00CB4269"/>
    <w:rsid w:val="00CE5C69"/>
    <w:rsid w:val="00D06C3E"/>
    <w:rsid w:val="00D2616D"/>
    <w:rsid w:val="00D560F0"/>
    <w:rsid w:val="00D624D3"/>
    <w:rsid w:val="00DB3D67"/>
    <w:rsid w:val="00DC0E93"/>
    <w:rsid w:val="00DC353D"/>
    <w:rsid w:val="00DC72EF"/>
    <w:rsid w:val="00E03991"/>
    <w:rsid w:val="00E36A24"/>
    <w:rsid w:val="00E42A4F"/>
    <w:rsid w:val="00E52A29"/>
    <w:rsid w:val="00F1571F"/>
    <w:rsid w:val="00F21ACF"/>
    <w:rsid w:val="00F23E21"/>
    <w:rsid w:val="00F46313"/>
    <w:rsid w:val="00F51BDB"/>
    <w:rsid w:val="00F62BA7"/>
    <w:rsid w:val="00F732A0"/>
    <w:rsid w:val="00FA7F94"/>
    <w:rsid w:val="00FB70B7"/>
    <w:rsid w:val="00FC04CE"/>
    <w:rsid w:val="00FD1408"/>
    <w:rsid w:val="00FE190A"/>
    <w:rsid w:val="00FF1BCE"/>
    <w:rsid w:val="00FF5869"/>
    <w:rsid w:val="06390E7F"/>
    <w:rsid w:val="216531EE"/>
    <w:rsid w:val="3A745A15"/>
    <w:rsid w:val="44C87CBE"/>
    <w:rsid w:val="470D29FD"/>
    <w:rsid w:val="491A430A"/>
    <w:rsid w:val="4C083881"/>
    <w:rsid w:val="4CCE6F95"/>
    <w:rsid w:val="5151127F"/>
    <w:rsid w:val="60C16081"/>
    <w:rsid w:val="63971419"/>
    <w:rsid w:val="650D1397"/>
    <w:rsid w:val="6678268C"/>
    <w:rsid w:val="7845681A"/>
    <w:rsid w:val="7DD6511C"/>
    <w:rsid w:val="7E4931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0"/>
    <w:pPr>
      <w:spacing w:after="120"/>
    </w:pPr>
    <w:rPr>
      <w:rFonts w:ascii="宋体" w:hAnsi="宋体"/>
      <w:sz w:val="28"/>
      <w:szCs w:val="24"/>
    </w:rPr>
  </w:style>
  <w:style w:type="paragraph" w:styleId="3">
    <w:name w:val="Plain Text"/>
    <w:basedOn w:val="1"/>
    <w:link w:val="19"/>
    <w:qFormat/>
    <w:uiPriority w:val="0"/>
    <w:pPr>
      <w:spacing w:beforeLines="50" w:afterLines="50" w:line="400" w:lineRule="atLeast"/>
    </w:pPr>
    <w:rPr>
      <w:rFonts w:ascii="宋体" w:hAnsi="Courier New"/>
      <w:sz w:val="24"/>
      <w:szCs w:val="24"/>
    </w:rPr>
  </w:style>
  <w:style w:type="paragraph" w:styleId="4">
    <w:name w:val="Date"/>
    <w:basedOn w:val="1"/>
    <w:next w:val="1"/>
    <w:link w:val="17"/>
    <w:semiHidden/>
    <w:unhideWhenUsed/>
    <w:qFormat/>
    <w:uiPriority w:val="99"/>
    <w:pPr>
      <w:ind w:left="100" w:leftChars="2500"/>
    </w:pPr>
  </w:style>
  <w:style w:type="paragraph" w:styleId="5">
    <w:name w:val="Body Text Indent 2"/>
    <w:basedOn w:val="1"/>
    <w:link w:val="12"/>
    <w:qFormat/>
    <w:uiPriority w:val="0"/>
    <w:pPr>
      <w:spacing w:after="120" w:line="480" w:lineRule="auto"/>
      <w:ind w:left="420" w:leftChars="200"/>
    </w:pPr>
    <w:rPr>
      <w:rFonts w:ascii="Times New Roman" w:hAnsi="Times New Roman" w:eastAsia="宋体" w:cs="Times New Roman"/>
      <w:sz w:val="28"/>
      <w:szCs w:val="24"/>
    </w:rPr>
  </w:style>
  <w:style w:type="paragraph" w:styleId="6">
    <w:name w:val="Balloon Text"/>
    <w:basedOn w:val="1"/>
    <w:link w:val="24"/>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正文文本缩进 2 Char"/>
    <w:basedOn w:val="11"/>
    <w:link w:val="5"/>
    <w:qFormat/>
    <w:uiPriority w:val="0"/>
    <w:rPr>
      <w:rFonts w:ascii="Times New Roman" w:hAnsi="Times New Roman" w:eastAsia="宋体" w:cs="Times New Roman"/>
      <w:sz w:val="28"/>
      <w:szCs w:val="24"/>
    </w:rPr>
  </w:style>
  <w:style w:type="paragraph" w:styleId="13">
    <w:name w:val="List Paragraph"/>
    <w:basedOn w:val="1"/>
    <w:qFormat/>
    <w:uiPriority w:val="1"/>
    <w:pPr>
      <w:ind w:firstLine="420" w:firstLineChars="200"/>
    </w:pPr>
  </w:style>
  <w:style w:type="paragraph" w:customStyle="1" w:styleId="14">
    <w:name w:val="Char1 Char Char Char"/>
    <w:basedOn w:val="1"/>
    <w:qFormat/>
    <w:uiPriority w:val="0"/>
    <w:pPr>
      <w:widowControl/>
      <w:snapToGrid w:val="0"/>
      <w:spacing w:before="120" w:after="160" w:line="360" w:lineRule="auto"/>
      <w:ind w:right="-360"/>
      <w:jc w:val="left"/>
    </w:pPr>
    <w:rPr>
      <w:rFonts w:ascii="仿宋_GB2312" w:hAnsi="Arial" w:eastAsia="仿宋_GB2312" w:cs="Times New Roman"/>
      <w:kern w:val="0"/>
      <w:sz w:val="24"/>
      <w:szCs w:val="24"/>
      <w:lang w:eastAsia="en-US"/>
    </w:rPr>
  </w:style>
  <w:style w:type="character" w:customStyle="1" w:styleId="15">
    <w:name w:val="页眉 Char"/>
    <w:basedOn w:val="11"/>
    <w:link w:val="8"/>
    <w:semiHidden/>
    <w:qFormat/>
    <w:uiPriority w:val="99"/>
    <w:rPr>
      <w:sz w:val="18"/>
      <w:szCs w:val="18"/>
    </w:rPr>
  </w:style>
  <w:style w:type="character" w:customStyle="1" w:styleId="16">
    <w:name w:val="页脚 Char"/>
    <w:basedOn w:val="11"/>
    <w:link w:val="7"/>
    <w:qFormat/>
    <w:uiPriority w:val="99"/>
    <w:rPr>
      <w:sz w:val="18"/>
      <w:szCs w:val="18"/>
    </w:rPr>
  </w:style>
  <w:style w:type="character" w:customStyle="1" w:styleId="17">
    <w:name w:val="日期 Char"/>
    <w:basedOn w:val="11"/>
    <w:link w:val="4"/>
    <w:semiHidden/>
    <w:qFormat/>
    <w:uiPriority w:val="99"/>
  </w:style>
  <w:style w:type="character" w:customStyle="1" w:styleId="18">
    <w:name w:val="纯文本 Char"/>
    <w:basedOn w:val="11"/>
    <w:link w:val="3"/>
    <w:qFormat/>
    <w:uiPriority w:val="0"/>
    <w:rPr>
      <w:rFonts w:ascii="宋体" w:hAnsi="Courier New"/>
      <w:sz w:val="24"/>
      <w:szCs w:val="24"/>
    </w:rPr>
  </w:style>
  <w:style w:type="character" w:customStyle="1" w:styleId="19">
    <w:name w:val="纯文本 Char1"/>
    <w:basedOn w:val="11"/>
    <w:link w:val="3"/>
    <w:semiHidden/>
    <w:qFormat/>
    <w:uiPriority w:val="99"/>
    <w:rPr>
      <w:rFonts w:ascii="宋体" w:hAnsi="Courier New" w:eastAsia="宋体" w:cs="Courier New"/>
      <w:szCs w:val="21"/>
    </w:rPr>
  </w:style>
  <w:style w:type="paragraph" w:customStyle="1" w:styleId="20">
    <w:name w:val="标准文本"/>
    <w:basedOn w:val="1"/>
    <w:qFormat/>
    <w:uiPriority w:val="0"/>
    <w:pPr>
      <w:widowControl/>
      <w:spacing w:line="360" w:lineRule="auto"/>
      <w:ind w:firstLine="200" w:firstLineChars="200"/>
      <w:jc w:val="left"/>
    </w:pPr>
    <w:rPr>
      <w:rFonts w:ascii="Times New Roman" w:hAnsi="Times New Roman" w:eastAsia="Times New Roman" w:cs="Times New Roman"/>
      <w:kern w:val="0"/>
      <w:szCs w:val="20"/>
      <w:lang w:val="zh-CN"/>
    </w:rPr>
  </w:style>
  <w:style w:type="character" w:customStyle="1" w:styleId="21">
    <w:name w:val="正文文本 Char"/>
    <w:link w:val="2"/>
    <w:qFormat/>
    <w:uiPriority w:val="0"/>
    <w:rPr>
      <w:rFonts w:ascii="宋体" w:hAnsi="宋体"/>
      <w:sz w:val="28"/>
      <w:szCs w:val="24"/>
    </w:rPr>
  </w:style>
  <w:style w:type="character" w:customStyle="1" w:styleId="22">
    <w:name w:val="正文文本 Char1"/>
    <w:basedOn w:val="11"/>
    <w:link w:val="2"/>
    <w:semiHidden/>
    <w:qFormat/>
    <w:uiPriority w:val="99"/>
  </w:style>
  <w:style w:type="paragraph" w:customStyle="1" w:styleId="23">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24">
    <w:name w:val="批注框文本 Char"/>
    <w:basedOn w:val="11"/>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2770</Words>
  <Characters>3031</Characters>
  <Lines>89</Lines>
  <Paragraphs>25</Paragraphs>
  <TotalTime>6</TotalTime>
  <ScaleCrop>false</ScaleCrop>
  <LinksUpToDate>false</LinksUpToDate>
  <CharactersWithSpaces>3108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2019-11-19T02:40:00Z</dcterms:created>
  <dc:creator>微软用户</dc:creator>
  <cp:lastModifiedBy>爱～夏</cp:lastModifiedBy>
  <dcterms:modified xsi:type="dcterms:W3CDTF">2022-06-01T03:20:47Z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18955CCE366B4F75890DCDB43F0D6FA8</vt:lpwstr>
  </property>
</Properties>
</file>