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 w:hAnsi="仿宋" w:eastAsia="仿宋" w:cs="仿宋_GB2312"/>
          <w:b/>
          <w:color w:val="auto"/>
          <w:sz w:val="32"/>
          <w:szCs w:val="32"/>
        </w:rPr>
      </w:pPr>
      <w:r>
        <w:rPr>
          <w:rFonts w:hint="eastAsia" w:ascii="仿宋" w:hAnsi="仿宋" w:eastAsia="仿宋" w:cs="仿宋_GB2312"/>
          <w:b/>
          <w:color w:val="auto"/>
          <w:sz w:val="32"/>
          <w:szCs w:val="32"/>
          <w:lang w:eastAsia="zh-CN"/>
        </w:rPr>
        <w:t>湖州师范学院保卫处移动消防救援设备采购项目</w:t>
      </w:r>
      <w:r>
        <w:rPr>
          <w:rFonts w:hint="eastAsia" w:ascii="仿宋" w:hAnsi="仿宋" w:eastAsia="仿宋" w:cs="仿宋_GB2312"/>
          <w:b/>
          <w:color w:val="auto"/>
          <w:sz w:val="32"/>
          <w:szCs w:val="32"/>
        </w:rPr>
        <w:t>询价文件</w:t>
      </w:r>
    </w:p>
    <w:p>
      <w:pPr>
        <w:rPr>
          <w:rFonts w:ascii="仿宋" w:hAnsi="仿宋" w:eastAsia="仿宋" w:cs="仿宋_GB2312"/>
          <w:b/>
          <w:color w:val="auto"/>
          <w:sz w:val="24"/>
        </w:rPr>
      </w:pPr>
    </w:p>
    <w:p>
      <w:pPr>
        <w:ind w:firstLine="472" w:firstLineChars="196"/>
        <w:rPr>
          <w:rFonts w:ascii="仿宋" w:hAnsi="仿宋" w:eastAsia="仿宋" w:cs="仿宋_GB2312"/>
          <w:b/>
          <w:color w:val="auto"/>
          <w:sz w:val="24"/>
        </w:rPr>
      </w:pPr>
      <w:r>
        <w:rPr>
          <w:rFonts w:hint="eastAsia" w:ascii="仿宋" w:hAnsi="仿宋" w:eastAsia="仿宋" w:cs="仿宋_GB2312"/>
          <w:b/>
          <w:color w:val="auto"/>
          <w:sz w:val="24"/>
        </w:rPr>
        <w:t>一、采购项目名称、采购清单及要求：</w:t>
      </w:r>
    </w:p>
    <w:p>
      <w:pPr>
        <w:ind w:firstLine="482" w:firstLineChars="200"/>
        <w:rPr>
          <w:rFonts w:hint="eastAsia" w:ascii="仿宋" w:hAnsi="仿宋" w:eastAsia="仿宋" w:cs="宋体"/>
          <w:color w:val="auto"/>
          <w:kern w:val="0"/>
          <w:sz w:val="24"/>
          <w:lang w:eastAsia="zh-CN"/>
        </w:rPr>
      </w:pPr>
      <w:r>
        <w:rPr>
          <w:rFonts w:ascii="仿宋" w:hAnsi="仿宋" w:eastAsia="仿宋" w:cs="仿宋_GB2312"/>
          <w:b/>
          <w:color w:val="auto"/>
          <w:sz w:val="24"/>
        </w:rPr>
        <w:t>1.</w:t>
      </w:r>
      <w:r>
        <w:rPr>
          <w:rFonts w:hint="eastAsia" w:ascii="仿宋" w:hAnsi="仿宋" w:eastAsia="仿宋" w:cs="仿宋_GB2312"/>
          <w:b/>
          <w:color w:val="auto"/>
          <w:sz w:val="24"/>
        </w:rPr>
        <w:t>采购项目名称：</w:t>
      </w:r>
      <w:r>
        <w:rPr>
          <w:rFonts w:hint="eastAsia" w:ascii="仿宋" w:hAnsi="仿宋" w:eastAsia="仿宋" w:cs="宋体"/>
          <w:color w:val="auto"/>
          <w:kern w:val="0"/>
          <w:sz w:val="24"/>
          <w:lang w:eastAsia="zh-CN"/>
        </w:rPr>
        <w:t>湖州师范学院保卫处移动消防救援设备采购项目</w:t>
      </w:r>
    </w:p>
    <w:p>
      <w:pPr>
        <w:ind w:firstLine="482" w:firstLineChars="200"/>
        <w:rPr>
          <w:rFonts w:hint="eastAsia" w:ascii="仿宋" w:hAnsi="仿宋" w:eastAsia="仿宋" w:cs="仿宋_GB2312"/>
          <w:color w:val="auto"/>
          <w:sz w:val="24"/>
          <w:lang w:eastAsia="zh-CN"/>
        </w:rPr>
      </w:pPr>
      <w:r>
        <w:rPr>
          <w:rFonts w:ascii="仿宋" w:hAnsi="仿宋" w:eastAsia="仿宋" w:cs="仿宋_GB2312"/>
          <w:b/>
          <w:color w:val="auto"/>
          <w:sz w:val="24"/>
        </w:rPr>
        <w:t>2.</w:t>
      </w:r>
      <w:r>
        <w:rPr>
          <w:rFonts w:hint="eastAsia" w:ascii="仿宋" w:hAnsi="仿宋" w:eastAsia="仿宋" w:cs="仿宋_GB2312"/>
          <w:b/>
          <w:color w:val="auto"/>
          <w:sz w:val="24"/>
        </w:rPr>
        <w:t>采购项目编号：</w:t>
      </w:r>
      <w:r>
        <w:rPr>
          <w:rFonts w:hint="eastAsia" w:ascii="仿宋" w:hAnsi="仿宋" w:eastAsia="仿宋" w:cs="仿宋_GB2312"/>
          <w:color w:val="auto"/>
          <w:sz w:val="24"/>
          <w:lang w:eastAsia="zh-CN"/>
        </w:rPr>
        <w:t>XZ2024-026</w:t>
      </w:r>
    </w:p>
    <w:p>
      <w:pPr>
        <w:ind w:firstLine="482" w:firstLineChars="200"/>
        <w:rPr>
          <w:rFonts w:ascii="仿宋" w:hAnsi="仿宋" w:eastAsia="仿宋" w:cs="仿宋_GB2312"/>
          <w:color w:val="auto"/>
          <w:sz w:val="24"/>
        </w:rPr>
      </w:pPr>
      <w:r>
        <w:rPr>
          <w:rFonts w:ascii="仿宋" w:hAnsi="仿宋" w:eastAsia="仿宋" w:cs="仿宋_GB2312"/>
          <w:b/>
          <w:color w:val="auto"/>
          <w:sz w:val="24"/>
        </w:rPr>
        <w:t>3.</w:t>
      </w:r>
      <w:r>
        <w:rPr>
          <w:rFonts w:hint="eastAsia" w:ascii="仿宋" w:hAnsi="仿宋" w:eastAsia="仿宋" w:cs="仿宋_GB2312"/>
          <w:b/>
          <w:color w:val="auto"/>
          <w:sz w:val="24"/>
        </w:rPr>
        <w:t>采购组织类型：</w:t>
      </w:r>
      <w:r>
        <w:rPr>
          <w:rFonts w:hint="eastAsia" w:ascii="仿宋" w:hAnsi="仿宋" w:eastAsia="仿宋" w:cs="仿宋_GB2312"/>
          <w:color w:val="auto"/>
          <w:sz w:val="24"/>
        </w:rPr>
        <w:t>分散采购自行组织</w:t>
      </w:r>
    </w:p>
    <w:p>
      <w:pPr>
        <w:ind w:firstLine="482" w:firstLineChars="200"/>
        <w:rPr>
          <w:rFonts w:ascii="仿宋" w:hAnsi="仿宋" w:eastAsia="仿宋" w:cs="仿宋_GB2312"/>
          <w:color w:val="auto"/>
          <w:sz w:val="24"/>
        </w:rPr>
      </w:pPr>
      <w:r>
        <w:rPr>
          <w:rFonts w:ascii="仿宋" w:hAnsi="仿宋" w:eastAsia="仿宋" w:cs="仿宋_GB2312"/>
          <w:b/>
          <w:color w:val="auto"/>
          <w:sz w:val="24"/>
        </w:rPr>
        <w:t>4.</w:t>
      </w:r>
      <w:r>
        <w:rPr>
          <w:rFonts w:hint="eastAsia" w:ascii="仿宋" w:hAnsi="仿宋" w:eastAsia="仿宋" w:cs="仿宋_GB2312"/>
          <w:b/>
          <w:color w:val="auto"/>
          <w:sz w:val="24"/>
        </w:rPr>
        <w:t>采购方式：</w:t>
      </w:r>
      <w:r>
        <w:rPr>
          <w:rFonts w:hint="eastAsia" w:ascii="仿宋" w:hAnsi="仿宋" w:eastAsia="仿宋" w:cs="仿宋_GB2312"/>
          <w:color w:val="auto"/>
          <w:sz w:val="24"/>
        </w:rPr>
        <w:t>校内询价</w:t>
      </w:r>
    </w:p>
    <w:p>
      <w:pPr>
        <w:ind w:firstLine="482" w:firstLineChars="200"/>
        <w:rPr>
          <w:rFonts w:ascii="仿宋" w:hAnsi="仿宋" w:eastAsia="仿宋" w:cs="仿宋_GB2312"/>
          <w:b/>
          <w:color w:val="auto"/>
          <w:sz w:val="24"/>
        </w:rPr>
      </w:pPr>
      <w:r>
        <w:rPr>
          <w:rFonts w:ascii="仿宋" w:hAnsi="仿宋" w:eastAsia="仿宋" w:cs="仿宋_GB2312"/>
          <w:b/>
          <w:color w:val="auto"/>
          <w:sz w:val="24"/>
        </w:rPr>
        <w:t>5.</w:t>
      </w:r>
      <w:r>
        <w:rPr>
          <w:rFonts w:hint="eastAsia" w:ascii="仿宋" w:hAnsi="仿宋" w:eastAsia="仿宋" w:cs="仿宋_GB2312"/>
          <w:b/>
          <w:color w:val="auto"/>
          <w:sz w:val="24"/>
        </w:rPr>
        <w:t>采购预算：</w:t>
      </w:r>
      <w:r>
        <w:rPr>
          <w:rFonts w:hint="eastAsia" w:ascii="仿宋" w:hAnsi="仿宋" w:eastAsia="仿宋" w:cs="仿宋_GB2312"/>
          <w:bCs/>
          <w:color w:val="auto"/>
          <w:sz w:val="24"/>
        </w:rPr>
        <w:t>人民币：</w:t>
      </w:r>
      <w:r>
        <w:rPr>
          <w:rFonts w:hint="eastAsia" w:ascii="仿宋" w:hAnsi="仿宋" w:eastAsia="仿宋" w:cs="仿宋_GB2312"/>
          <w:bCs/>
          <w:color w:val="auto"/>
          <w:sz w:val="24"/>
          <w:lang w:eastAsia="zh-CN"/>
        </w:rPr>
        <w:t>捌万</w:t>
      </w:r>
      <w:r>
        <w:rPr>
          <w:rFonts w:hint="eastAsia" w:ascii="仿宋" w:hAnsi="仿宋" w:eastAsia="仿宋" w:cs="仿宋_GB2312"/>
          <w:bCs/>
          <w:color w:val="auto"/>
          <w:sz w:val="24"/>
        </w:rPr>
        <w:t>元整（￥</w:t>
      </w:r>
      <w:r>
        <w:rPr>
          <w:rFonts w:hint="eastAsia" w:ascii="仿宋" w:hAnsi="仿宋" w:eastAsia="仿宋" w:cs="仿宋_GB2312"/>
          <w:bCs/>
          <w:color w:val="auto"/>
          <w:sz w:val="24"/>
          <w:lang w:eastAsia="zh-CN"/>
        </w:rPr>
        <w:t>80000</w:t>
      </w:r>
      <w:r>
        <w:rPr>
          <w:rFonts w:hint="eastAsia" w:ascii="仿宋" w:hAnsi="仿宋" w:eastAsia="仿宋" w:cs="仿宋_GB2312"/>
          <w:bCs/>
          <w:color w:val="auto"/>
          <w:sz w:val="24"/>
        </w:rPr>
        <w:t>元），包含货物费、运输费、安装调试费、</w:t>
      </w:r>
      <w:r>
        <w:rPr>
          <w:rFonts w:hint="eastAsia" w:ascii="仿宋" w:hAnsi="仿宋" w:eastAsia="仿宋" w:cs="仿宋_GB2312"/>
          <w:bCs/>
          <w:color w:val="auto"/>
          <w:sz w:val="24"/>
          <w:lang w:val="en-US" w:eastAsia="zh-CN"/>
        </w:rPr>
        <w:t>保险费</w:t>
      </w:r>
      <w:r>
        <w:rPr>
          <w:rFonts w:hint="eastAsia" w:ascii="仿宋" w:hAnsi="仿宋" w:eastAsia="仿宋" w:cs="仿宋_GB2312"/>
          <w:bCs/>
          <w:color w:val="auto"/>
          <w:sz w:val="24"/>
        </w:rPr>
        <w:t>、服务费</w:t>
      </w:r>
      <w:r>
        <w:rPr>
          <w:rFonts w:hint="eastAsia" w:ascii="仿宋" w:hAnsi="仿宋" w:eastAsia="仿宋" w:cs="仿宋_GB2312"/>
          <w:bCs/>
          <w:color w:val="auto"/>
          <w:sz w:val="24"/>
          <w:lang w:val="en-US" w:eastAsia="zh-CN"/>
        </w:rPr>
        <w:t>、</w:t>
      </w:r>
      <w:r>
        <w:rPr>
          <w:rFonts w:hint="eastAsia" w:ascii="仿宋" w:hAnsi="仿宋" w:eastAsia="仿宋" w:cs="仿宋_GB2312"/>
          <w:bCs/>
          <w:color w:val="auto"/>
          <w:sz w:val="24"/>
        </w:rPr>
        <w:t>税费等全部费用在内。</w:t>
      </w:r>
    </w:p>
    <w:p>
      <w:pPr>
        <w:ind w:firstLine="482" w:firstLineChars="200"/>
        <w:rPr>
          <w:rFonts w:ascii="仿宋" w:hAnsi="仿宋" w:eastAsia="仿宋" w:cs="仿宋_GB2312"/>
          <w:color w:val="auto"/>
          <w:sz w:val="24"/>
        </w:rPr>
      </w:pPr>
      <w:r>
        <w:rPr>
          <w:rFonts w:ascii="仿宋" w:hAnsi="仿宋" w:eastAsia="仿宋" w:cs="仿宋_GB2312"/>
          <w:b/>
          <w:color w:val="auto"/>
          <w:sz w:val="24"/>
        </w:rPr>
        <w:t>6.</w:t>
      </w:r>
      <w:r>
        <w:rPr>
          <w:rFonts w:hint="eastAsia" w:ascii="仿宋" w:hAnsi="仿宋" w:eastAsia="仿宋" w:cs="仿宋_GB2312"/>
          <w:b/>
          <w:color w:val="auto"/>
          <w:sz w:val="24"/>
        </w:rPr>
        <w:t>采购清单</w:t>
      </w:r>
      <w:r>
        <w:rPr>
          <w:rFonts w:hint="eastAsia" w:ascii="仿宋" w:hAnsi="仿宋" w:eastAsia="仿宋" w:cs="仿宋_GB2312"/>
          <w:color w:val="auto"/>
          <w:sz w:val="24"/>
        </w:rPr>
        <w:t>（包括货物名称、技术参数、数量、单位等）：</w:t>
      </w:r>
    </w:p>
    <w:tbl>
      <w:tblPr>
        <w:tblStyle w:val="12"/>
        <w:tblW w:w="8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250"/>
        <w:gridCol w:w="3911"/>
        <w:gridCol w:w="835"/>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62" w:type="dxa"/>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序号</w:t>
            </w:r>
          </w:p>
        </w:tc>
        <w:tc>
          <w:tcPr>
            <w:tcW w:w="2250" w:type="dxa"/>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名称</w:t>
            </w:r>
          </w:p>
        </w:tc>
        <w:tc>
          <w:tcPr>
            <w:tcW w:w="3911" w:type="dxa"/>
            <w:vAlign w:val="center"/>
          </w:tcPr>
          <w:p>
            <w:pPr>
              <w:pStyle w:val="10"/>
              <w:widowControl/>
              <w:spacing w:before="225" w:beforeAutospacing="0" w:after="225" w:afterAutospacing="0" w:line="0" w:lineRule="atLeast"/>
              <w:jc w:val="center"/>
              <w:rPr>
                <w:rFonts w:hint="eastAsia" w:ascii="仿宋" w:hAnsi="仿宋" w:eastAsia="仿宋" w:cs="仿宋"/>
                <w:b/>
                <w:color w:val="auto"/>
                <w:lang w:val="en-US" w:eastAsia="zh-CN"/>
              </w:rPr>
            </w:pPr>
            <w:r>
              <w:rPr>
                <w:rFonts w:hint="eastAsia" w:ascii="仿宋" w:hAnsi="仿宋" w:eastAsia="仿宋" w:cs="仿宋"/>
                <w:b/>
                <w:color w:val="auto"/>
              </w:rPr>
              <w:t>技术参数</w:t>
            </w:r>
            <w:r>
              <w:rPr>
                <w:rFonts w:hint="eastAsia" w:ascii="仿宋" w:hAnsi="仿宋" w:eastAsia="仿宋" w:cs="仿宋"/>
                <w:b/>
                <w:color w:val="auto"/>
                <w:lang w:val="en-US" w:eastAsia="zh-CN"/>
              </w:rPr>
              <w:t>需求</w:t>
            </w:r>
          </w:p>
        </w:tc>
        <w:tc>
          <w:tcPr>
            <w:tcW w:w="835" w:type="dxa"/>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数量</w:t>
            </w:r>
          </w:p>
        </w:tc>
        <w:tc>
          <w:tcPr>
            <w:tcW w:w="847" w:type="dxa"/>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62" w:type="dxa"/>
            <w:vAlign w:val="center"/>
          </w:tcPr>
          <w:p>
            <w:pPr>
              <w:pStyle w:val="10"/>
              <w:widowControl/>
              <w:spacing w:before="225" w:beforeAutospacing="0" w:after="225" w:afterAutospacing="0" w:line="0" w:lineRule="atLeast"/>
              <w:jc w:val="center"/>
              <w:rPr>
                <w:rFonts w:ascii="仿宋" w:hAnsi="仿宋" w:eastAsia="仿宋" w:cs="仿宋_GB2312"/>
                <w:bCs/>
                <w:color w:val="auto"/>
                <w:kern w:val="2"/>
              </w:rPr>
            </w:pPr>
            <w:r>
              <w:rPr>
                <w:rFonts w:hint="eastAsia" w:ascii="仿宋" w:hAnsi="仿宋" w:eastAsia="仿宋" w:cs="仿宋_GB2312"/>
                <w:bCs/>
                <w:color w:val="auto"/>
                <w:kern w:val="2"/>
              </w:rPr>
              <w:t>1</w:t>
            </w:r>
          </w:p>
        </w:tc>
        <w:tc>
          <w:tcPr>
            <w:tcW w:w="2250" w:type="dxa"/>
            <w:vAlign w:val="center"/>
          </w:tcPr>
          <w:p>
            <w:pPr>
              <w:pStyle w:val="10"/>
              <w:widowControl/>
              <w:spacing w:before="225" w:beforeAutospacing="0" w:after="225" w:afterAutospacing="0" w:line="0" w:lineRule="atLeast"/>
              <w:jc w:val="center"/>
              <w:rPr>
                <w:rFonts w:ascii="仿宋" w:hAnsi="仿宋" w:eastAsia="仿宋" w:cs="仿宋_GB2312"/>
                <w:bCs/>
                <w:color w:val="auto"/>
                <w:kern w:val="2"/>
              </w:rPr>
            </w:pPr>
            <w:r>
              <w:rPr>
                <w:rFonts w:hint="eastAsia" w:ascii="仿宋" w:hAnsi="仿宋" w:eastAsia="仿宋" w:cs="宋体"/>
                <w:color w:val="auto"/>
                <w:kern w:val="0"/>
                <w:sz w:val="24"/>
                <w:lang w:eastAsia="zh-CN"/>
              </w:rPr>
              <w:t>移动消防救援设备</w:t>
            </w:r>
          </w:p>
        </w:tc>
        <w:tc>
          <w:tcPr>
            <w:tcW w:w="3911" w:type="dxa"/>
            <w:vAlign w:val="center"/>
          </w:tcPr>
          <w:p>
            <w:pPr>
              <w:jc w:val="center"/>
              <w:rPr>
                <w:rFonts w:hint="default" w:ascii="仿宋" w:hAnsi="仿宋" w:eastAsia="仿宋" w:cs="仿宋_GB2312"/>
                <w:bCs/>
                <w:color w:val="auto"/>
                <w:kern w:val="2"/>
                <w:lang w:val="en-US" w:eastAsia="zh-CN"/>
              </w:rPr>
            </w:pPr>
            <w:r>
              <w:rPr>
                <w:rFonts w:hint="eastAsia" w:ascii="仿宋" w:hAnsi="仿宋" w:eastAsia="仿宋" w:cs="宋体"/>
                <w:color w:val="auto"/>
                <w:kern w:val="0"/>
                <w:sz w:val="24"/>
                <w:szCs w:val="24"/>
                <w:lang w:val="en-US" w:eastAsia="zh-CN" w:bidi="ar-SA"/>
              </w:rPr>
              <w:t>详见附件2技术参数需求表</w:t>
            </w:r>
          </w:p>
        </w:tc>
        <w:tc>
          <w:tcPr>
            <w:tcW w:w="835" w:type="dxa"/>
            <w:vAlign w:val="center"/>
          </w:tcPr>
          <w:p>
            <w:pPr>
              <w:pStyle w:val="10"/>
              <w:widowControl/>
              <w:spacing w:before="225" w:beforeAutospacing="0" w:after="225" w:afterAutospacing="0" w:line="0" w:lineRule="atLeast"/>
              <w:jc w:val="center"/>
              <w:rPr>
                <w:rFonts w:ascii="仿宋" w:hAnsi="仿宋" w:eastAsia="仿宋" w:cs="仿宋_GB2312"/>
                <w:bCs/>
                <w:color w:val="auto"/>
                <w:kern w:val="2"/>
              </w:rPr>
            </w:pPr>
            <w:r>
              <w:rPr>
                <w:rFonts w:ascii="仿宋" w:hAnsi="仿宋" w:eastAsia="仿宋" w:cs="仿宋_GB2312"/>
                <w:bCs/>
                <w:color w:val="auto"/>
                <w:kern w:val="2"/>
              </w:rPr>
              <w:t>1</w:t>
            </w:r>
          </w:p>
        </w:tc>
        <w:tc>
          <w:tcPr>
            <w:tcW w:w="847" w:type="dxa"/>
            <w:vAlign w:val="center"/>
          </w:tcPr>
          <w:p>
            <w:pPr>
              <w:pStyle w:val="10"/>
              <w:widowControl/>
              <w:spacing w:before="225" w:beforeAutospacing="0" w:after="225" w:afterAutospacing="0" w:line="0" w:lineRule="atLeast"/>
              <w:jc w:val="center"/>
              <w:rPr>
                <w:rFonts w:hint="default" w:ascii="仿宋" w:hAnsi="仿宋" w:eastAsia="仿宋" w:cs="仿宋_GB2312"/>
                <w:bCs/>
                <w:color w:val="auto"/>
                <w:kern w:val="2"/>
                <w:lang w:val="en-US" w:eastAsia="zh-CN"/>
              </w:rPr>
            </w:pPr>
            <w:r>
              <w:rPr>
                <w:rFonts w:hint="eastAsia" w:ascii="仿宋" w:hAnsi="仿宋" w:eastAsia="仿宋" w:cs="仿宋_GB2312"/>
                <w:bCs/>
                <w:color w:val="auto"/>
                <w:kern w:val="2"/>
                <w:lang w:val="en-US" w:eastAsia="zh-CN"/>
              </w:rPr>
              <w:t>台</w:t>
            </w:r>
          </w:p>
        </w:tc>
      </w:tr>
    </w:tbl>
    <w:p>
      <w:pPr>
        <w:ind w:firstLine="472" w:firstLineChars="196"/>
        <w:rPr>
          <w:rFonts w:ascii="仿宋" w:hAnsi="仿宋" w:eastAsia="仿宋"/>
          <w:b/>
          <w:bCs/>
          <w:color w:val="auto"/>
          <w:sz w:val="24"/>
        </w:rPr>
      </w:pPr>
    </w:p>
    <w:p>
      <w:pPr>
        <w:ind w:firstLine="472" w:firstLineChars="196"/>
        <w:rPr>
          <w:rFonts w:ascii="仿宋" w:hAnsi="仿宋" w:eastAsia="仿宋"/>
          <w:b/>
          <w:bCs/>
          <w:color w:val="auto"/>
          <w:sz w:val="24"/>
        </w:rPr>
      </w:pPr>
      <w:r>
        <w:rPr>
          <w:rFonts w:hint="eastAsia" w:ascii="仿宋" w:hAnsi="仿宋" w:eastAsia="仿宋"/>
          <w:b/>
          <w:bCs/>
          <w:color w:val="auto"/>
          <w:sz w:val="24"/>
        </w:rPr>
        <w:t>二、投标文件要求</w:t>
      </w:r>
    </w:p>
    <w:p>
      <w:pPr>
        <w:spacing w:line="340" w:lineRule="exact"/>
        <w:ind w:firstLine="480" w:firstLineChars="200"/>
        <w:jc w:val="left"/>
        <w:rPr>
          <w:rFonts w:ascii="仿宋" w:hAnsi="仿宋" w:eastAsia="仿宋"/>
          <w:color w:val="auto"/>
          <w:sz w:val="24"/>
        </w:rPr>
      </w:pPr>
      <w:r>
        <w:rPr>
          <w:rFonts w:hint="eastAsia" w:ascii="仿宋" w:hAnsi="仿宋" w:eastAsia="仿宋"/>
          <w:color w:val="auto"/>
          <w:sz w:val="24"/>
        </w:rPr>
        <w:t>投标人的投标文件中应包含以下内容（投标文件密封，一式两份，一正一副，胶装成册。所有证件均须真实、有效，复印件均须加盖公章，缺少以下任意一项内容即作无效标处理）：</w:t>
      </w:r>
    </w:p>
    <w:p>
      <w:pPr>
        <w:ind w:firstLine="480" w:firstLineChars="200"/>
        <w:jc w:val="left"/>
        <w:rPr>
          <w:rFonts w:ascii="仿宋" w:hAnsi="仿宋" w:eastAsia="仿宋" w:cs="宋体"/>
          <w:color w:val="auto"/>
          <w:sz w:val="24"/>
        </w:rPr>
      </w:pPr>
      <w:r>
        <w:rPr>
          <w:rFonts w:ascii="仿宋" w:hAnsi="仿宋" w:eastAsia="仿宋"/>
          <w:color w:val="auto"/>
          <w:sz w:val="24"/>
        </w:rPr>
        <w:t>1.</w:t>
      </w:r>
      <w:r>
        <w:rPr>
          <w:rFonts w:hint="eastAsia" w:ascii="仿宋" w:hAnsi="仿宋" w:eastAsia="仿宋"/>
          <w:color w:val="auto"/>
          <w:sz w:val="24"/>
        </w:rPr>
        <w:t>投标报价清单</w:t>
      </w:r>
      <w:r>
        <w:rPr>
          <w:rFonts w:ascii="仿宋" w:hAnsi="仿宋" w:eastAsia="仿宋"/>
          <w:color w:val="auto"/>
          <w:sz w:val="24"/>
        </w:rPr>
        <w:t>(</w:t>
      </w:r>
      <w:r>
        <w:rPr>
          <w:rFonts w:hint="eastAsia" w:ascii="仿宋" w:hAnsi="仿宋" w:eastAsia="仿宋" w:cs="仿宋_GB2312"/>
          <w:color w:val="auto"/>
          <w:sz w:val="24"/>
        </w:rPr>
        <w:t>含货物费、运输费、</w:t>
      </w:r>
      <w:r>
        <w:rPr>
          <w:rFonts w:hint="eastAsia" w:ascii="仿宋" w:hAnsi="仿宋" w:eastAsia="仿宋" w:cs="仿宋_GB2312"/>
          <w:color w:val="auto"/>
          <w:sz w:val="24"/>
          <w:lang w:val="en-US" w:eastAsia="zh-CN"/>
        </w:rPr>
        <w:t>安装调试费、保险费、</w:t>
      </w:r>
      <w:r>
        <w:rPr>
          <w:rFonts w:hint="eastAsia" w:ascii="仿宋" w:hAnsi="仿宋" w:eastAsia="仿宋" w:cs="仿宋_GB2312"/>
          <w:color w:val="auto"/>
          <w:sz w:val="24"/>
        </w:rPr>
        <w:t>服务费、税费等全部费用。</w:t>
      </w:r>
      <w:r>
        <w:rPr>
          <w:rFonts w:hint="eastAsia" w:ascii="仿宋" w:hAnsi="仿宋" w:eastAsia="仿宋"/>
          <w:color w:val="auto"/>
          <w:sz w:val="24"/>
        </w:rPr>
        <w:t>投标报价高于采购预算者视为无效报价。报价以人民币计，并以大写为准</w:t>
      </w:r>
      <w:r>
        <w:rPr>
          <w:rFonts w:ascii="仿宋" w:hAnsi="仿宋" w:eastAsia="仿宋"/>
          <w:color w:val="auto"/>
          <w:sz w:val="24"/>
        </w:rPr>
        <w:t>)</w:t>
      </w:r>
      <w:r>
        <w:rPr>
          <w:rFonts w:hint="eastAsia" w:ascii="仿宋" w:hAnsi="仿宋" w:eastAsia="仿宋" w:cs="宋体"/>
          <w:color w:val="auto"/>
          <w:sz w:val="24"/>
        </w:rPr>
        <w:t>。</w:t>
      </w:r>
      <w:r>
        <w:rPr>
          <w:rFonts w:hint="eastAsia" w:ascii="仿宋" w:hAnsi="仿宋" w:eastAsia="仿宋" w:cs="仿宋_GB2312"/>
          <w:b/>
          <w:bCs/>
          <w:color w:val="auto"/>
          <w:sz w:val="24"/>
        </w:rPr>
        <w:t>投标报价清单见附件1；</w:t>
      </w:r>
    </w:p>
    <w:p>
      <w:pPr>
        <w:ind w:firstLine="480" w:firstLineChars="200"/>
        <w:jc w:val="left"/>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有效的营业执照副本复印件、税务登记证副本复印件；或“三证合一”营业执照副本复印件；或“五证合一”营业执照副本复印件；</w:t>
      </w:r>
    </w:p>
    <w:p>
      <w:pPr>
        <w:ind w:firstLine="480" w:firstLineChars="200"/>
        <w:jc w:val="left"/>
        <w:rPr>
          <w:rFonts w:ascii="仿宋" w:hAnsi="仿宋" w:eastAsia="仿宋"/>
          <w:color w:val="auto"/>
          <w:sz w:val="24"/>
        </w:rPr>
      </w:pPr>
      <w:r>
        <w:rPr>
          <w:rFonts w:ascii="仿宋" w:hAnsi="仿宋" w:eastAsia="仿宋"/>
          <w:color w:val="auto"/>
          <w:sz w:val="24"/>
        </w:rPr>
        <w:t>3.</w:t>
      </w:r>
      <w:r>
        <w:rPr>
          <w:rFonts w:hint="eastAsia" w:ascii="仿宋" w:hAnsi="仿宋" w:eastAsia="仿宋" w:cs="仿宋_GB2312"/>
          <w:color w:val="auto"/>
          <w:sz w:val="24"/>
        </w:rPr>
        <w:t>投标人开户银行、户名、账号；</w:t>
      </w:r>
    </w:p>
    <w:p>
      <w:pPr>
        <w:ind w:firstLine="480" w:firstLineChars="200"/>
        <w:jc w:val="left"/>
        <w:rPr>
          <w:rFonts w:ascii="仿宋" w:hAnsi="仿宋" w:eastAsia="仿宋"/>
          <w:color w:val="auto"/>
          <w:sz w:val="24"/>
        </w:rPr>
      </w:pPr>
      <w:r>
        <w:rPr>
          <w:rFonts w:hint="eastAsia" w:ascii="仿宋" w:hAnsi="仿宋" w:eastAsia="仿宋"/>
          <w:color w:val="auto"/>
          <w:sz w:val="24"/>
        </w:rPr>
        <w:t>4.投标代表身份证复印件；如非法定代表人投标，另提供法定代表人授权委托书原件、法定代表人身份证复印件；投标代表需提供在本单位近三个月缴纳社保的凭证；</w:t>
      </w:r>
    </w:p>
    <w:p>
      <w:pPr>
        <w:ind w:firstLine="480" w:firstLineChars="200"/>
        <w:jc w:val="left"/>
        <w:rPr>
          <w:rFonts w:ascii="仿宋" w:hAnsi="仿宋" w:eastAsia="仿宋"/>
          <w:sz w:val="24"/>
        </w:rPr>
      </w:pPr>
      <w:r>
        <w:rPr>
          <w:rFonts w:hint="eastAsia" w:ascii="仿宋" w:hAnsi="仿宋" w:eastAsia="仿宋"/>
          <w:sz w:val="24"/>
        </w:rPr>
        <w:t>5.投标产品质量及售后服务承诺书；</w:t>
      </w:r>
    </w:p>
    <w:p>
      <w:pPr>
        <w:ind w:firstLine="480" w:firstLineChars="200"/>
        <w:jc w:val="left"/>
        <w:rPr>
          <w:rFonts w:ascii="仿宋" w:hAnsi="仿宋" w:eastAsia="仿宋"/>
          <w:color w:val="auto"/>
          <w:sz w:val="24"/>
        </w:rPr>
      </w:pPr>
      <w:r>
        <w:rPr>
          <w:rFonts w:hint="eastAsia" w:ascii="仿宋" w:hAnsi="仿宋" w:eastAsia="仿宋"/>
          <w:color w:val="auto"/>
          <w:sz w:val="24"/>
          <w:lang w:val="en-US" w:eastAsia="zh-CN"/>
        </w:rPr>
        <w:t>6</w:t>
      </w:r>
      <w:r>
        <w:rPr>
          <w:rFonts w:hint="eastAsia" w:ascii="仿宋" w:hAnsi="仿宋" w:eastAsia="仿宋"/>
          <w:color w:val="auto"/>
          <w:sz w:val="24"/>
        </w:rPr>
        <w:t>.投标产品的彩图；</w:t>
      </w:r>
    </w:p>
    <w:p>
      <w:pPr>
        <w:ind w:firstLine="480" w:firstLineChars="200"/>
        <w:jc w:val="left"/>
        <w:rPr>
          <w:rFonts w:ascii="仿宋" w:hAnsi="仿宋" w:eastAsia="仿宋"/>
          <w:color w:val="auto"/>
          <w:sz w:val="24"/>
        </w:rPr>
      </w:pPr>
      <w:r>
        <w:rPr>
          <w:rFonts w:hint="eastAsia" w:ascii="仿宋" w:hAnsi="仿宋" w:eastAsia="仿宋"/>
          <w:color w:val="auto"/>
          <w:sz w:val="24"/>
          <w:lang w:val="en-US" w:eastAsia="zh-CN"/>
        </w:rPr>
        <w:t>7</w:t>
      </w:r>
      <w:r>
        <w:rPr>
          <w:rFonts w:ascii="仿宋" w:hAnsi="仿宋" w:eastAsia="仿宋"/>
          <w:color w:val="auto"/>
          <w:sz w:val="24"/>
        </w:rPr>
        <w:t>.</w:t>
      </w:r>
      <w:r>
        <w:rPr>
          <w:rFonts w:hint="eastAsia" w:ascii="仿宋" w:hAnsi="仿宋" w:eastAsia="仿宋"/>
          <w:color w:val="auto"/>
          <w:sz w:val="24"/>
        </w:rPr>
        <w:t>投标产品的技术参数响应表（见附件</w:t>
      </w:r>
      <w:r>
        <w:rPr>
          <w:rFonts w:hint="eastAsia" w:ascii="仿宋" w:hAnsi="仿宋" w:eastAsia="仿宋"/>
          <w:color w:val="auto"/>
          <w:sz w:val="24"/>
          <w:lang w:val="en-US" w:eastAsia="zh-CN"/>
        </w:rPr>
        <w:t>3</w:t>
      </w:r>
      <w:r>
        <w:rPr>
          <w:rFonts w:hint="eastAsia" w:ascii="仿宋" w:hAnsi="仿宋" w:eastAsia="仿宋"/>
          <w:color w:val="auto"/>
          <w:sz w:val="24"/>
        </w:rPr>
        <w:t>，</w:t>
      </w:r>
      <w:r>
        <w:rPr>
          <w:rFonts w:hint="eastAsia" w:ascii="仿宋" w:hAnsi="仿宋" w:eastAsia="仿宋"/>
          <w:color w:val="auto"/>
          <w:sz w:val="24"/>
          <w:lang w:val="en-US" w:eastAsia="zh-CN"/>
        </w:rPr>
        <w:t>根据技术参数需求表制作，</w:t>
      </w:r>
      <w:r>
        <w:rPr>
          <w:rFonts w:hint="eastAsia" w:ascii="仿宋" w:hAnsi="仿宋" w:eastAsia="仿宋"/>
          <w:color w:val="auto"/>
          <w:sz w:val="24"/>
        </w:rPr>
        <w:t>技术参数存在负偏离作无效标处理）；</w:t>
      </w:r>
    </w:p>
    <w:p>
      <w:pPr>
        <w:ind w:firstLine="480" w:firstLineChars="200"/>
        <w:jc w:val="left"/>
        <w:rPr>
          <w:rFonts w:ascii="仿宋" w:hAnsi="仿宋" w:eastAsia="仿宋"/>
          <w:color w:val="auto"/>
          <w:sz w:val="24"/>
        </w:rPr>
      </w:pPr>
      <w:r>
        <w:rPr>
          <w:rFonts w:hint="eastAsia" w:ascii="仿宋" w:hAnsi="仿宋" w:eastAsia="仿宋"/>
          <w:color w:val="auto"/>
          <w:sz w:val="24"/>
          <w:lang w:val="en-US" w:eastAsia="zh-CN"/>
        </w:rPr>
        <w:t>8</w:t>
      </w:r>
      <w:r>
        <w:rPr>
          <w:rFonts w:hint="eastAsia" w:ascii="仿宋" w:hAnsi="仿宋" w:eastAsia="仿宋"/>
          <w:color w:val="auto"/>
          <w:sz w:val="24"/>
        </w:rPr>
        <w:t>.提供自采购公告发布之日起至开标截止时间止的“信用中国”网站（www.creditchina.gov.cn）、中国政府采购网（</w:t>
      </w:r>
      <w:r>
        <w:rPr>
          <w:rFonts w:ascii="仿宋" w:hAnsi="仿宋" w:eastAsia="仿宋"/>
          <w:color w:val="auto"/>
          <w:sz w:val="24"/>
        </w:rPr>
        <w:t>www.ccgp.gov.cn</w:t>
      </w:r>
      <w:r>
        <w:rPr>
          <w:rFonts w:hint="eastAsia" w:ascii="仿宋" w:hAnsi="仿宋" w:eastAsia="仿宋"/>
          <w:color w:val="auto"/>
          <w:sz w:val="24"/>
        </w:rPr>
        <w:t>）、</w:t>
      </w:r>
      <w:r>
        <w:rPr>
          <w:rFonts w:hint="eastAsia" w:ascii="仿宋" w:hAnsi="仿宋" w:eastAsia="仿宋" w:cs="仿宋_GB2312"/>
          <w:color w:val="auto"/>
          <w:sz w:val="24"/>
        </w:rPr>
        <w:t>“浙江政府采购网”（</w:t>
      </w:r>
      <w:r>
        <w:rPr>
          <w:rFonts w:ascii="仿宋" w:hAnsi="仿宋" w:eastAsia="仿宋" w:cs="仿宋_GB2312"/>
          <w:color w:val="auto"/>
          <w:sz w:val="24"/>
        </w:rPr>
        <w:t>zfcg.czt.zj.gov.cn</w:t>
      </w:r>
      <w:r>
        <w:rPr>
          <w:rFonts w:hint="eastAsia" w:ascii="仿宋" w:hAnsi="仿宋" w:eastAsia="仿宋" w:cs="仿宋_GB2312"/>
          <w:color w:val="auto"/>
          <w:sz w:val="24"/>
        </w:rPr>
        <w:t>）</w:t>
      </w:r>
      <w:r>
        <w:rPr>
          <w:rFonts w:hint="eastAsia" w:ascii="仿宋" w:hAnsi="仿宋" w:eastAsia="仿宋"/>
          <w:color w:val="auto"/>
          <w:sz w:val="24"/>
        </w:rPr>
        <w:t>投标人信用查询网页截图（至少提供2个）（以开标当日采购人核实的查询结果为准）；</w:t>
      </w:r>
    </w:p>
    <w:p>
      <w:pPr>
        <w:ind w:firstLine="480" w:firstLineChars="200"/>
        <w:jc w:val="left"/>
        <w:rPr>
          <w:rFonts w:ascii="仿宋" w:hAnsi="仿宋" w:eastAsia="仿宋"/>
          <w:color w:val="auto"/>
          <w:sz w:val="24"/>
        </w:rPr>
      </w:pPr>
      <w:r>
        <w:rPr>
          <w:rFonts w:hint="eastAsia" w:ascii="仿宋" w:hAnsi="仿宋" w:eastAsia="仿宋"/>
          <w:color w:val="auto"/>
          <w:sz w:val="24"/>
          <w:lang w:val="en-US" w:eastAsia="zh-CN"/>
        </w:rPr>
        <w:t>9</w:t>
      </w:r>
      <w:r>
        <w:rPr>
          <w:rFonts w:ascii="仿宋" w:hAnsi="仿宋" w:eastAsia="仿宋"/>
          <w:color w:val="auto"/>
          <w:sz w:val="24"/>
        </w:rPr>
        <w:t>.</w:t>
      </w:r>
      <w:r>
        <w:rPr>
          <w:rFonts w:hint="eastAsia" w:ascii="仿宋" w:hAnsi="仿宋" w:eastAsia="仿宋" w:cs="仿宋_GB2312"/>
          <w:color w:val="auto"/>
          <w:sz w:val="24"/>
        </w:rPr>
        <w:t>其他相关材料（采购需求清单中要求提供的材料，投标人认为需要提供的材料等）。</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三、投标文件递交及开标时间：</w:t>
      </w:r>
    </w:p>
    <w:p>
      <w:pPr>
        <w:spacing w:line="340" w:lineRule="exact"/>
        <w:ind w:firstLine="480" w:firstLineChars="200"/>
        <w:jc w:val="left"/>
        <w:rPr>
          <w:rFonts w:ascii="仿宋" w:hAnsi="仿宋" w:eastAsia="仿宋"/>
          <w:b/>
          <w:color w:val="auto"/>
          <w:sz w:val="24"/>
          <w:u w:val="single"/>
        </w:rPr>
      </w:pPr>
      <w:r>
        <w:rPr>
          <w:rFonts w:ascii="仿宋" w:hAnsi="仿宋" w:eastAsia="仿宋"/>
          <w:color w:val="auto"/>
          <w:sz w:val="24"/>
        </w:rPr>
        <w:t>1.</w:t>
      </w:r>
      <w:r>
        <w:rPr>
          <w:rFonts w:hint="eastAsia" w:ascii="仿宋" w:hAnsi="仿宋" w:eastAsia="仿宋"/>
          <w:color w:val="auto"/>
          <w:sz w:val="24"/>
        </w:rPr>
        <w:t>开标时间：</w:t>
      </w:r>
      <w:r>
        <w:rPr>
          <w:rFonts w:hint="eastAsia" w:ascii="仿宋" w:hAnsi="仿宋" w:eastAsia="仿宋" w:cs="宋体"/>
          <w:bCs/>
          <w:color w:val="auto"/>
          <w:kern w:val="0"/>
          <w:sz w:val="24"/>
        </w:rPr>
        <w:t>2024年4月</w:t>
      </w:r>
      <w:r>
        <w:rPr>
          <w:rFonts w:hint="eastAsia" w:ascii="仿宋" w:hAnsi="仿宋" w:eastAsia="仿宋" w:cs="宋体"/>
          <w:bCs/>
          <w:color w:val="auto"/>
          <w:kern w:val="0"/>
          <w:sz w:val="24"/>
          <w:lang w:val="en-US" w:eastAsia="zh-CN"/>
        </w:rPr>
        <w:t>30</w:t>
      </w:r>
      <w:r>
        <w:rPr>
          <w:rFonts w:hint="eastAsia" w:ascii="仿宋" w:hAnsi="仿宋" w:eastAsia="仿宋" w:cs="宋体"/>
          <w:bCs/>
          <w:color w:val="auto"/>
          <w:kern w:val="0"/>
          <w:sz w:val="24"/>
        </w:rPr>
        <w:t>日14:00；</w:t>
      </w:r>
    </w:p>
    <w:p>
      <w:pPr>
        <w:spacing w:line="340" w:lineRule="exact"/>
        <w:ind w:left="147" w:leftChars="70" w:firstLine="360" w:firstLineChars="150"/>
        <w:jc w:val="left"/>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开标地点：湖州市二环东路</w:t>
      </w:r>
      <w:r>
        <w:rPr>
          <w:rFonts w:ascii="仿宋" w:hAnsi="仿宋" w:eastAsia="仿宋"/>
          <w:color w:val="auto"/>
          <w:sz w:val="24"/>
        </w:rPr>
        <w:t>759</w:t>
      </w:r>
      <w:r>
        <w:rPr>
          <w:rFonts w:hint="eastAsia" w:ascii="仿宋" w:hAnsi="仿宋" w:eastAsia="仿宋"/>
          <w:color w:val="auto"/>
          <w:sz w:val="24"/>
        </w:rPr>
        <w:t>号湖州师范学院东校区明达楼</w:t>
      </w:r>
      <w:r>
        <w:rPr>
          <w:rFonts w:ascii="仿宋" w:hAnsi="仿宋" w:eastAsia="仿宋"/>
          <w:color w:val="auto"/>
          <w:sz w:val="24"/>
        </w:rPr>
        <w:t>20</w:t>
      </w:r>
      <w:r>
        <w:rPr>
          <w:rFonts w:hint="eastAsia" w:ascii="仿宋" w:hAnsi="仿宋" w:eastAsia="仿宋"/>
          <w:color w:val="auto"/>
          <w:sz w:val="24"/>
        </w:rPr>
        <w:t>4室；</w:t>
      </w:r>
    </w:p>
    <w:p>
      <w:pPr>
        <w:spacing w:line="340" w:lineRule="exact"/>
        <w:ind w:firstLine="480" w:firstLineChars="200"/>
        <w:jc w:val="left"/>
        <w:rPr>
          <w:rFonts w:ascii="仿宋" w:hAnsi="仿宋" w:eastAsia="仿宋"/>
          <w:color w:val="auto"/>
          <w:sz w:val="24"/>
        </w:rPr>
      </w:pPr>
      <w:r>
        <w:rPr>
          <w:rFonts w:ascii="仿宋" w:hAnsi="仿宋" w:eastAsia="仿宋"/>
          <w:color w:val="auto"/>
          <w:sz w:val="24"/>
        </w:rPr>
        <w:t>3.</w:t>
      </w:r>
      <w:r>
        <w:rPr>
          <w:rFonts w:hint="eastAsia" w:ascii="仿宋" w:hAnsi="仿宋" w:eastAsia="仿宋"/>
          <w:color w:val="auto"/>
          <w:sz w:val="24"/>
        </w:rPr>
        <w:t>联系人：张老师；</w:t>
      </w:r>
    </w:p>
    <w:p>
      <w:pPr>
        <w:spacing w:line="340" w:lineRule="exact"/>
        <w:ind w:firstLine="480" w:firstLineChars="200"/>
        <w:jc w:val="left"/>
        <w:rPr>
          <w:rFonts w:ascii="仿宋" w:hAnsi="仿宋" w:eastAsia="仿宋"/>
          <w:color w:val="auto"/>
          <w:sz w:val="24"/>
        </w:rPr>
      </w:pPr>
      <w:r>
        <w:rPr>
          <w:rFonts w:ascii="仿宋" w:hAnsi="仿宋" w:eastAsia="仿宋"/>
          <w:color w:val="auto"/>
          <w:sz w:val="24"/>
        </w:rPr>
        <w:t>4.</w:t>
      </w:r>
      <w:r>
        <w:rPr>
          <w:rFonts w:hint="eastAsia" w:ascii="仿宋" w:hAnsi="仿宋" w:eastAsia="仿宋"/>
          <w:color w:val="auto"/>
          <w:sz w:val="24"/>
        </w:rPr>
        <w:t>电话：</w:t>
      </w:r>
      <w:r>
        <w:rPr>
          <w:rFonts w:ascii="仿宋" w:hAnsi="仿宋" w:eastAsia="仿宋"/>
          <w:color w:val="auto"/>
          <w:sz w:val="24"/>
        </w:rPr>
        <w:t>0572-232</w:t>
      </w:r>
      <w:r>
        <w:rPr>
          <w:rFonts w:hint="eastAsia" w:ascii="仿宋" w:hAnsi="仿宋" w:eastAsia="仿宋"/>
          <w:color w:val="auto"/>
          <w:sz w:val="24"/>
        </w:rPr>
        <w:t>2188。</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四、中标办法</w:t>
      </w:r>
    </w:p>
    <w:p>
      <w:pPr>
        <w:ind w:firstLine="480" w:firstLineChars="200"/>
        <w:jc w:val="left"/>
        <w:rPr>
          <w:rFonts w:ascii="仿宋" w:hAnsi="仿宋" w:eastAsia="仿宋"/>
          <w:color w:val="auto"/>
          <w:sz w:val="24"/>
        </w:rPr>
      </w:pPr>
      <w:r>
        <w:rPr>
          <w:rFonts w:hint="eastAsia" w:ascii="仿宋" w:hAnsi="仿宋" w:eastAsia="仿宋"/>
          <w:color w:val="auto"/>
          <w:sz w:val="24"/>
        </w:rPr>
        <w:t>本项目根据投标报价、货物需求响应、服务承诺等确定拟中标单位。在货物需求响应、服务承诺等条件符合的条件下，报价最低的单位作为第一成交候选人，次低报价的单位作为第二成交候选人，以此类推。</w:t>
      </w:r>
    </w:p>
    <w:p>
      <w:pPr>
        <w:ind w:firstLine="480" w:firstLineChars="200"/>
        <w:jc w:val="left"/>
        <w:rPr>
          <w:rFonts w:ascii="仿宋" w:hAnsi="仿宋" w:eastAsia="仿宋"/>
          <w:color w:val="auto"/>
          <w:sz w:val="24"/>
        </w:rPr>
      </w:pPr>
      <w:r>
        <w:rPr>
          <w:rFonts w:hint="eastAsia" w:ascii="仿宋" w:hAnsi="仿宋" w:eastAsia="仿宋"/>
          <w:color w:val="auto"/>
          <w:sz w:val="24"/>
        </w:rPr>
        <w:t>替补候选人的设定与使用：第一成交候选人放弃成交或者因不可抗力提出不能履行合同，在投标人仍满足三家的情况下，采购人可以确定第二成交候选人为成交人，排名第二的成交候选人因前款同样的原因不能签订合同，采购人可以确定排名第三的成交候选人为成交人。如第一成交候选人放弃中标或者因不可抗力提出不能履行合同，采购人也可以重新询价。</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五、付款方式</w:t>
      </w:r>
    </w:p>
    <w:p>
      <w:pPr>
        <w:adjustRightInd w:val="0"/>
        <w:snapToGrid w:val="0"/>
        <w:spacing w:line="260" w:lineRule="exact"/>
        <w:ind w:firstLine="470" w:firstLineChars="196"/>
        <w:jc w:val="left"/>
        <w:rPr>
          <w:rFonts w:ascii="仿宋" w:hAnsi="仿宋" w:eastAsia="仿宋"/>
          <w:color w:val="auto"/>
          <w:sz w:val="24"/>
        </w:rPr>
      </w:pPr>
      <w:r>
        <w:rPr>
          <w:rFonts w:hint="eastAsia" w:ascii="仿宋" w:hAnsi="仿宋" w:eastAsia="仿宋" w:cs="仿宋"/>
          <w:color w:val="auto"/>
          <w:sz w:val="24"/>
        </w:rPr>
        <w:t>中标人完成本项目并经采购人验收合格后，</w:t>
      </w:r>
      <w:r>
        <w:rPr>
          <w:rFonts w:hint="eastAsia" w:ascii="仿宋" w:hAnsi="仿宋" w:eastAsia="仿宋"/>
          <w:color w:val="auto"/>
          <w:sz w:val="24"/>
        </w:rPr>
        <w:t>中标人依法依规开具全额发票，采购人按合同金额原则上于14个工作日内（如遇特殊情况顺延）一次性全额支付款项。</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六、交货时间及地点</w:t>
      </w:r>
    </w:p>
    <w:p>
      <w:pPr>
        <w:spacing w:line="340" w:lineRule="exact"/>
        <w:ind w:firstLine="480" w:firstLineChars="200"/>
        <w:jc w:val="left"/>
        <w:rPr>
          <w:rFonts w:ascii="仿宋" w:hAnsi="仿宋" w:eastAsia="仿宋"/>
          <w:color w:val="auto"/>
          <w:sz w:val="24"/>
        </w:rPr>
      </w:pPr>
      <w:r>
        <w:rPr>
          <w:rFonts w:hint="eastAsia" w:ascii="仿宋" w:hAnsi="仿宋" w:eastAsia="仿宋"/>
          <w:color w:val="auto"/>
          <w:sz w:val="24"/>
        </w:rPr>
        <w:t>1.交货时间：</w:t>
      </w:r>
      <w:r>
        <w:rPr>
          <w:rFonts w:hint="eastAsia" w:ascii="仿宋" w:hAnsi="仿宋" w:eastAsia="仿宋"/>
          <w:bCs/>
          <w:color w:val="auto"/>
          <w:sz w:val="24"/>
        </w:rPr>
        <w:t>合同签订后</w:t>
      </w:r>
      <w:r>
        <w:rPr>
          <w:rFonts w:hint="eastAsia" w:ascii="仿宋" w:hAnsi="仿宋" w:eastAsia="仿宋"/>
          <w:bCs/>
          <w:color w:val="auto"/>
          <w:sz w:val="24"/>
          <w:lang w:val="en-US" w:eastAsia="zh-CN"/>
        </w:rPr>
        <w:t>30</w:t>
      </w:r>
      <w:r>
        <w:rPr>
          <w:rFonts w:hint="eastAsia" w:ascii="仿宋" w:hAnsi="仿宋" w:eastAsia="仿宋"/>
          <w:bCs/>
          <w:color w:val="auto"/>
          <w:sz w:val="24"/>
        </w:rPr>
        <w:t>日内供货并完成安装调试</w:t>
      </w:r>
      <w:r>
        <w:rPr>
          <w:rFonts w:hint="eastAsia" w:ascii="仿宋" w:hAnsi="仿宋" w:eastAsia="仿宋"/>
          <w:color w:val="auto"/>
          <w:sz w:val="24"/>
        </w:rPr>
        <w:t>。</w:t>
      </w:r>
    </w:p>
    <w:p>
      <w:pPr>
        <w:spacing w:line="340" w:lineRule="exact"/>
        <w:ind w:firstLine="480" w:firstLineChars="200"/>
        <w:jc w:val="left"/>
        <w:rPr>
          <w:rFonts w:ascii="仿宋" w:hAnsi="仿宋" w:eastAsia="仿宋"/>
          <w:color w:val="auto"/>
          <w:sz w:val="24"/>
        </w:rPr>
      </w:pPr>
      <w:r>
        <w:rPr>
          <w:rFonts w:hint="eastAsia" w:ascii="仿宋" w:hAnsi="仿宋" w:eastAsia="仿宋"/>
          <w:color w:val="auto"/>
          <w:sz w:val="24"/>
        </w:rPr>
        <w:t>2.交货地点：湖州师范学院指定地点。</w:t>
      </w:r>
    </w:p>
    <w:p>
      <w:pPr>
        <w:spacing w:line="340" w:lineRule="exact"/>
        <w:ind w:firstLine="472" w:firstLineChars="196"/>
        <w:jc w:val="left"/>
        <w:rPr>
          <w:rFonts w:ascii="仿宋" w:hAnsi="仿宋" w:eastAsia="仿宋"/>
          <w:color w:val="auto"/>
          <w:sz w:val="24"/>
        </w:rPr>
      </w:pPr>
      <w:r>
        <w:rPr>
          <w:rFonts w:hint="eastAsia" w:ascii="仿宋" w:hAnsi="仿宋" w:eastAsia="仿宋"/>
          <w:b/>
          <w:bCs/>
          <w:color w:val="auto"/>
          <w:sz w:val="24"/>
        </w:rPr>
        <w:t>七、售后服务</w:t>
      </w:r>
    </w:p>
    <w:p>
      <w:pPr>
        <w:ind w:firstLine="480" w:firstLineChars="200"/>
        <w:jc w:val="left"/>
        <w:rPr>
          <w:rFonts w:ascii="仿宋" w:hAnsi="仿宋" w:eastAsia="仿宋"/>
          <w:color w:val="auto"/>
          <w:sz w:val="24"/>
        </w:rPr>
      </w:pPr>
      <w:r>
        <w:rPr>
          <w:rFonts w:hint="eastAsia" w:ascii="仿宋" w:hAnsi="仿宋" w:eastAsia="仿宋"/>
          <w:color w:val="auto"/>
          <w:sz w:val="24"/>
        </w:rPr>
        <w:t>自验收合格之日起，</w:t>
      </w:r>
      <w:r>
        <w:rPr>
          <w:rFonts w:hint="eastAsia" w:ascii="仿宋" w:hAnsi="仿宋" w:eastAsia="仿宋"/>
          <w:color w:val="auto"/>
          <w:sz w:val="24"/>
          <w:lang w:val="en-US" w:eastAsia="zh-CN"/>
        </w:rPr>
        <w:t>移动消防救援设备</w:t>
      </w:r>
      <w:r>
        <w:rPr>
          <w:rFonts w:hint="eastAsia" w:ascii="仿宋" w:hAnsi="仿宋" w:eastAsia="仿宋"/>
          <w:color w:val="auto"/>
          <w:sz w:val="24"/>
        </w:rPr>
        <w:t>质保期</w:t>
      </w:r>
      <w:r>
        <w:rPr>
          <w:rFonts w:hint="eastAsia" w:ascii="仿宋" w:hAnsi="仿宋" w:eastAsia="仿宋"/>
          <w:color w:val="auto"/>
          <w:sz w:val="24"/>
          <w:lang w:val="en-US" w:eastAsia="zh-CN"/>
        </w:rPr>
        <w:t>2</w:t>
      </w:r>
      <w:r>
        <w:rPr>
          <w:rFonts w:hint="eastAsia" w:ascii="仿宋" w:hAnsi="仿宋" w:eastAsia="仿宋"/>
          <w:color w:val="auto"/>
          <w:sz w:val="24"/>
        </w:rPr>
        <w:t>年</w:t>
      </w:r>
      <w:r>
        <w:rPr>
          <w:rFonts w:hint="eastAsia" w:ascii="仿宋" w:hAnsi="仿宋" w:eastAsia="仿宋"/>
          <w:color w:val="auto"/>
          <w:sz w:val="24"/>
          <w:lang w:eastAsia="zh-CN"/>
        </w:rPr>
        <w:t>，</w:t>
      </w:r>
      <w:r>
        <w:rPr>
          <w:rFonts w:hint="eastAsia" w:ascii="仿宋" w:hAnsi="仿宋" w:eastAsia="仿宋"/>
          <w:color w:val="auto"/>
          <w:sz w:val="24"/>
          <w:lang w:val="en-US" w:eastAsia="zh-CN"/>
        </w:rPr>
        <w:t>铅酸电池质保期1年</w:t>
      </w:r>
      <w:r>
        <w:rPr>
          <w:rFonts w:hint="eastAsia" w:ascii="仿宋" w:hAnsi="仿宋" w:eastAsia="仿宋"/>
          <w:color w:val="auto"/>
          <w:sz w:val="24"/>
        </w:rPr>
        <w:t>；质保期</w:t>
      </w:r>
      <w:r>
        <w:rPr>
          <w:rFonts w:hint="eastAsia" w:ascii="仿宋" w:hAnsi="仿宋" w:eastAsia="仿宋"/>
          <w:color w:val="auto"/>
          <w:sz w:val="24"/>
          <w:lang w:val="en-US" w:eastAsia="zh-CN"/>
        </w:rPr>
        <w:t>内</w:t>
      </w:r>
      <w:r>
        <w:rPr>
          <w:rFonts w:hint="eastAsia" w:ascii="仿宋" w:hAnsi="仿宋" w:eastAsia="仿宋"/>
          <w:color w:val="auto"/>
          <w:sz w:val="24"/>
        </w:rPr>
        <w:t>出现故障，中标人应在接到故障报修请求后，于30分钟内响应，2小时内提出解决方案，24小时内</w:t>
      </w:r>
      <w:r>
        <w:rPr>
          <w:rFonts w:hint="eastAsia" w:ascii="仿宋" w:hAnsi="仿宋" w:eastAsia="仿宋"/>
          <w:color w:val="auto"/>
          <w:sz w:val="24"/>
          <w:lang w:val="en-US" w:eastAsia="zh-CN"/>
        </w:rPr>
        <w:t>到达现场进行维修</w:t>
      </w:r>
      <w:r>
        <w:rPr>
          <w:rFonts w:hint="eastAsia" w:ascii="仿宋" w:hAnsi="仿宋" w:eastAsia="仿宋"/>
          <w:color w:val="auto"/>
          <w:sz w:val="24"/>
        </w:rPr>
        <w:t>，</w:t>
      </w:r>
      <w:r>
        <w:rPr>
          <w:rFonts w:hint="eastAsia" w:ascii="仿宋" w:hAnsi="仿宋" w:eastAsia="仿宋"/>
          <w:color w:val="auto"/>
          <w:sz w:val="24"/>
          <w:lang w:val="en-US" w:eastAsia="zh-CN"/>
        </w:rPr>
        <w:t>48不能完成修复的，必须采取提供备品、备件或备机等措施以保证采购人正常使用</w:t>
      </w:r>
      <w:r>
        <w:rPr>
          <w:rFonts w:hint="eastAsia" w:ascii="仿宋" w:hAnsi="仿宋" w:eastAsia="仿宋"/>
          <w:color w:val="auto"/>
          <w:sz w:val="24"/>
        </w:rPr>
        <w:t>。质保期后，中标人继续提供维保服务，仅收取零配件成本费。</w:t>
      </w:r>
      <w:r>
        <w:rPr>
          <w:rFonts w:hint="eastAsia" w:ascii="仿宋" w:hAnsi="仿宋" w:eastAsia="仿宋"/>
          <w:color w:val="auto"/>
          <w:sz w:val="24"/>
          <w:lang w:val="en-US" w:eastAsia="zh-CN"/>
        </w:rPr>
        <w:t>中标人应对采购人的维修人员提供培训，使其能对设备进行日常的维护保养及能对一般故障进行维修。中标人应对采购人的操作人员提供操作培训，并使其能熟练操作系统。</w:t>
      </w:r>
    </w:p>
    <w:p>
      <w:pPr>
        <w:spacing w:line="340" w:lineRule="exact"/>
        <w:ind w:firstLine="472" w:firstLineChars="196"/>
        <w:jc w:val="left"/>
        <w:rPr>
          <w:rFonts w:ascii="仿宋" w:hAnsi="仿宋" w:eastAsia="仿宋"/>
          <w:b/>
          <w:bCs/>
          <w:color w:val="auto"/>
          <w:sz w:val="24"/>
        </w:rPr>
      </w:pPr>
      <w:r>
        <w:rPr>
          <w:rFonts w:hint="eastAsia" w:ascii="仿宋" w:hAnsi="仿宋" w:eastAsia="仿宋"/>
          <w:b/>
          <w:bCs/>
          <w:color w:val="auto"/>
          <w:sz w:val="24"/>
        </w:rPr>
        <w:t>八、产品质量保证</w:t>
      </w:r>
    </w:p>
    <w:p>
      <w:pPr>
        <w:spacing w:line="340" w:lineRule="exact"/>
        <w:ind w:firstLine="480" w:firstLineChars="20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投标人提供的产品必须为原厂生产的合格产品，符合相关国家标准。如采购人验收或使用时发现中标人提供的为假冒伪劣产品，采购人将依据《中华人民共和国消费者权益保护法》和《浙江省实施〈中华人民共和国消费者权益保护法〉办法》有关规定对中标人进行索赔。</w:t>
      </w:r>
    </w:p>
    <w:p>
      <w:pPr>
        <w:spacing w:line="340" w:lineRule="exact"/>
        <w:ind w:firstLine="480" w:firstLineChars="200"/>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rPr>
        <w:t>中标人供应的产品如不符合招标文件和合同要求，采购人有权无条件退货，责任全部由中标人承担。</w:t>
      </w:r>
    </w:p>
    <w:p>
      <w:pPr>
        <w:spacing w:line="340" w:lineRule="exact"/>
        <w:ind w:firstLine="482" w:firstLineChars="200"/>
        <w:jc w:val="left"/>
        <w:rPr>
          <w:rFonts w:ascii="仿宋" w:hAnsi="仿宋" w:eastAsia="仿宋"/>
          <w:b/>
          <w:color w:val="auto"/>
          <w:sz w:val="24"/>
        </w:rPr>
      </w:pPr>
    </w:p>
    <w:p>
      <w:pPr>
        <w:spacing w:line="340" w:lineRule="exact"/>
        <w:ind w:firstLine="482" w:firstLineChars="200"/>
        <w:jc w:val="left"/>
        <w:rPr>
          <w:rFonts w:hint="eastAsia" w:ascii="仿宋" w:hAnsi="仿宋" w:eastAsia="仿宋"/>
          <w:b/>
          <w:color w:val="auto"/>
          <w:sz w:val="24"/>
        </w:rPr>
      </w:pPr>
      <w:r>
        <w:rPr>
          <w:rFonts w:hint="eastAsia" w:ascii="仿宋" w:hAnsi="仿宋" w:eastAsia="仿宋"/>
          <w:b/>
          <w:color w:val="auto"/>
          <w:sz w:val="24"/>
        </w:rPr>
        <w:t>附件1：投标报价清单</w:t>
      </w:r>
    </w:p>
    <w:p>
      <w:pPr>
        <w:pStyle w:val="2"/>
        <w:ind w:left="0" w:leftChars="0" w:firstLine="482" w:firstLineChars="200"/>
        <w:rPr>
          <w:rFonts w:hint="default" w:eastAsia="仿宋"/>
          <w:lang w:val="en-US" w:eastAsia="zh-CN"/>
        </w:rPr>
      </w:pPr>
      <w:r>
        <w:rPr>
          <w:rFonts w:hint="eastAsia" w:ascii="仿宋" w:hAnsi="仿宋" w:eastAsia="仿宋"/>
          <w:b/>
          <w:color w:val="auto"/>
          <w:sz w:val="24"/>
        </w:rPr>
        <w:t>附件</w:t>
      </w:r>
      <w:r>
        <w:rPr>
          <w:rFonts w:hint="eastAsia" w:ascii="仿宋" w:hAnsi="仿宋" w:eastAsia="仿宋"/>
          <w:b/>
          <w:color w:val="auto"/>
          <w:sz w:val="24"/>
          <w:lang w:val="en-US" w:eastAsia="zh-CN"/>
        </w:rPr>
        <w:t>2</w:t>
      </w:r>
      <w:r>
        <w:rPr>
          <w:rFonts w:hint="eastAsia" w:ascii="仿宋" w:hAnsi="仿宋" w:eastAsia="仿宋"/>
          <w:b/>
          <w:color w:val="auto"/>
          <w:sz w:val="24"/>
        </w:rPr>
        <w:t>：技术参数</w:t>
      </w:r>
      <w:r>
        <w:rPr>
          <w:rFonts w:hint="eastAsia" w:ascii="仿宋" w:hAnsi="仿宋" w:eastAsia="仿宋"/>
          <w:b/>
          <w:color w:val="auto"/>
          <w:sz w:val="24"/>
          <w:lang w:val="en-US" w:eastAsia="zh-CN"/>
        </w:rPr>
        <w:t>需求表</w:t>
      </w:r>
    </w:p>
    <w:p>
      <w:pPr>
        <w:pStyle w:val="5"/>
        <w:rPr>
          <w:rFonts w:eastAsia="仿宋"/>
          <w:color w:val="auto"/>
        </w:rPr>
      </w:pPr>
      <w:r>
        <w:rPr>
          <w:rFonts w:ascii="仿宋" w:hAnsi="仿宋" w:eastAsia="仿宋"/>
          <w:b/>
          <w:color w:val="auto"/>
          <w:sz w:val="24"/>
        </w:rPr>
        <w:t xml:space="preserve">    </w:t>
      </w:r>
      <w:r>
        <w:rPr>
          <w:rFonts w:hint="eastAsia" w:ascii="仿宋" w:hAnsi="仿宋" w:eastAsia="仿宋"/>
          <w:b/>
          <w:color w:val="auto"/>
          <w:sz w:val="24"/>
        </w:rPr>
        <w:t>附件</w:t>
      </w:r>
      <w:r>
        <w:rPr>
          <w:rFonts w:hint="eastAsia" w:ascii="仿宋" w:hAnsi="仿宋" w:eastAsia="仿宋"/>
          <w:b/>
          <w:color w:val="auto"/>
          <w:sz w:val="24"/>
          <w:lang w:val="en-US" w:eastAsia="zh-CN"/>
        </w:rPr>
        <w:t>3</w:t>
      </w:r>
      <w:r>
        <w:rPr>
          <w:rFonts w:hint="eastAsia" w:ascii="仿宋" w:hAnsi="仿宋" w:eastAsia="仿宋"/>
          <w:b/>
          <w:color w:val="auto"/>
          <w:sz w:val="24"/>
        </w:rPr>
        <w:t>：技术参数响应表</w:t>
      </w:r>
    </w:p>
    <w:p>
      <w:pPr>
        <w:spacing w:before="100" w:line="340" w:lineRule="exact"/>
        <w:ind w:firstLine="4819" w:firstLineChars="2000"/>
        <w:jc w:val="right"/>
        <w:rPr>
          <w:rFonts w:ascii="仿宋" w:hAnsi="仿宋" w:eastAsia="仿宋"/>
          <w:b/>
          <w:color w:val="auto"/>
          <w:sz w:val="24"/>
        </w:rPr>
      </w:pPr>
    </w:p>
    <w:p>
      <w:pPr>
        <w:spacing w:before="100" w:line="340" w:lineRule="exact"/>
        <w:ind w:firstLine="4819" w:firstLineChars="2000"/>
        <w:jc w:val="right"/>
        <w:rPr>
          <w:rFonts w:ascii="仿宋" w:hAnsi="仿宋" w:eastAsia="仿宋"/>
          <w:b/>
          <w:color w:val="auto"/>
          <w:sz w:val="24"/>
        </w:rPr>
      </w:pPr>
      <w:r>
        <w:rPr>
          <w:rFonts w:hint="eastAsia" w:ascii="仿宋" w:hAnsi="仿宋" w:eastAsia="仿宋"/>
          <w:b/>
          <w:color w:val="auto"/>
          <w:sz w:val="24"/>
        </w:rPr>
        <w:t>湖州师范学院采购中心</w:t>
      </w:r>
    </w:p>
    <w:p>
      <w:pPr>
        <w:spacing w:before="100" w:line="340" w:lineRule="exact"/>
        <w:ind w:firstLine="5440" w:firstLineChars="2258"/>
        <w:jc w:val="right"/>
        <w:rPr>
          <w:rFonts w:ascii="仿宋" w:hAnsi="仿宋" w:eastAsia="仿宋"/>
          <w:b/>
          <w:color w:val="auto"/>
          <w:sz w:val="24"/>
        </w:rPr>
      </w:pPr>
      <w:r>
        <w:rPr>
          <w:rFonts w:hint="eastAsia" w:ascii="仿宋" w:hAnsi="仿宋" w:eastAsia="仿宋"/>
          <w:b/>
          <w:color w:val="auto"/>
          <w:sz w:val="24"/>
        </w:rPr>
        <w:t>2024年4月</w:t>
      </w:r>
      <w:r>
        <w:rPr>
          <w:rFonts w:hint="eastAsia" w:ascii="仿宋" w:hAnsi="仿宋" w:eastAsia="仿宋"/>
          <w:b/>
          <w:color w:val="auto"/>
          <w:sz w:val="24"/>
          <w:lang w:val="en-US" w:eastAsia="zh-CN"/>
        </w:rPr>
        <w:t>24</w:t>
      </w:r>
      <w:r>
        <w:rPr>
          <w:rFonts w:hint="eastAsia" w:ascii="仿宋" w:hAnsi="仿宋" w:eastAsia="仿宋"/>
          <w:b/>
          <w:color w:val="auto"/>
          <w:sz w:val="24"/>
        </w:rPr>
        <w:t>日</w:t>
      </w: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hint="eastAsia" w:ascii="仿宋" w:hAnsi="仿宋" w:eastAsia="仿宋"/>
          <w:b/>
          <w:color w:val="auto"/>
          <w:sz w:val="24"/>
        </w:rPr>
      </w:pPr>
    </w:p>
    <w:p>
      <w:pPr>
        <w:widowControl/>
        <w:jc w:val="left"/>
        <w:rPr>
          <w:rFonts w:ascii="仿宋" w:hAnsi="仿宋" w:eastAsia="仿宋"/>
          <w:b/>
          <w:color w:val="auto"/>
          <w:sz w:val="24"/>
        </w:rPr>
      </w:pPr>
      <w:r>
        <w:rPr>
          <w:rFonts w:hint="eastAsia" w:ascii="仿宋" w:hAnsi="仿宋" w:eastAsia="仿宋"/>
          <w:b/>
          <w:color w:val="auto"/>
          <w:sz w:val="24"/>
        </w:rPr>
        <w:t>附件1</w:t>
      </w:r>
    </w:p>
    <w:p>
      <w:pPr>
        <w:spacing w:before="100" w:line="340" w:lineRule="exact"/>
        <w:ind w:firstLine="723" w:firstLineChars="200"/>
        <w:jc w:val="center"/>
        <w:rPr>
          <w:rFonts w:ascii="仿宋" w:hAnsi="仿宋" w:eastAsia="仿宋"/>
          <w:b/>
          <w:color w:val="auto"/>
          <w:sz w:val="36"/>
          <w:szCs w:val="36"/>
        </w:rPr>
      </w:pPr>
      <w:r>
        <w:rPr>
          <w:rFonts w:hint="eastAsia" w:ascii="仿宋" w:hAnsi="仿宋" w:eastAsia="仿宋"/>
          <w:b/>
          <w:color w:val="auto"/>
          <w:sz w:val="36"/>
          <w:szCs w:val="36"/>
        </w:rPr>
        <w:t>投标报价清单</w:t>
      </w:r>
    </w:p>
    <w:p>
      <w:pPr>
        <w:spacing w:before="100" w:line="340" w:lineRule="exact"/>
        <w:ind w:firstLine="723" w:firstLineChars="200"/>
        <w:jc w:val="center"/>
        <w:rPr>
          <w:rFonts w:ascii="仿宋" w:hAnsi="仿宋" w:eastAsia="仿宋"/>
          <w:b/>
          <w:color w:val="auto"/>
          <w:sz w:val="36"/>
          <w:szCs w:val="36"/>
        </w:rPr>
      </w:pPr>
    </w:p>
    <w:p>
      <w:pPr>
        <w:rPr>
          <w:rFonts w:hint="eastAsia" w:ascii="仿宋" w:hAnsi="仿宋" w:eastAsia="仿宋" w:cs="宋体"/>
          <w:color w:val="auto"/>
          <w:kern w:val="0"/>
          <w:sz w:val="24"/>
          <w:lang w:eastAsia="zh-CN"/>
        </w:rPr>
      </w:pPr>
      <w:r>
        <w:rPr>
          <w:rFonts w:hint="eastAsia" w:ascii="仿宋" w:hAnsi="仿宋" w:eastAsia="仿宋"/>
          <w:b/>
          <w:color w:val="auto"/>
          <w:sz w:val="24"/>
        </w:rPr>
        <w:t>项目名称：</w:t>
      </w:r>
      <w:r>
        <w:rPr>
          <w:rFonts w:hint="eastAsia" w:ascii="仿宋" w:hAnsi="仿宋" w:eastAsia="仿宋" w:cs="宋体"/>
          <w:color w:val="auto"/>
          <w:kern w:val="0"/>
          <w:sz w:val="24"/>
          <w:lang w:eastAsia="zh-CN"/>
        </w:rPr>
        <w:t>湖州师范学院保卫处移动消防救援设备采购项目</w:t>
      </w:r>
    </w:p>
    <w:p>
      <w:pPr>
        <w:spacing w:line="340" w:lineRule="exact"/>
        <w:jc w:val="left"/>
        <w:rPr>
          <w:rFonts w:hint="eastAsia" w:ascii="仿宋" w:hAnsi="仿宋" w:eastAsia="仿宋"/>
          <w:color w:val="auto"/>
          <w:sz w:val="24"/>
          <w:lang w:eastAsia="zh-CN"/>
        </w:rPr>
      </w:pPr>
      <w:r>
        <w:rPr>
          <w:rFonts w:hint="eastAsia" w:ascii="仿宋" w:hAnsi="仿宋" w:eastAsia="仿宋"/>
          <w:b/>
          <w:color w:val="auto"/>
          <w:sz w:val="24"/>
        </w:rPr>
        <w:t>项目编号：</w:t>
      </w:r>
      <w:r>
        <w:rPr>
          <w:rFonts w:hint="eastAsia" w:ascii="仿宋" w:hAnsi="仿宋" w:eastAsia="仿宋"/>
          <w:color w:val="auto"/>
          <w:sz w:val="24"/>
          <w:lang w:eastAsia="zh-CN"/>
        </w:rPr>
        <w:t>XZ2024-026</w:t>
      </w:r>
    </w:p>
    <w:tbl>
      <w:tblPr>
        <w:tblStyle w:val="11"/>
        <w:tblW w:w="81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5"/>
        <w:gridCol w:w="2260"/>
        <w:gridCol w:w="2159"/>
        <w:gridCol w:w="622"/>
        <w:gridCol w:w="642"/>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exact"/>
          <w:jc w:val="center"/>
        </w:trPr>
        <w:tc>
          <w:tcPr>
            <w:tcW w:w="595" w:type="dxa"/>
            <w:noWrap/>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序号</w:t>
            </w:r>
          </w:p>
        </w:tc>
        <w:tc>
          <w:tcPr>
            <w:tcW w:w="2260" w:type="dxa"/>
            <w:noWrap/>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名称</w:t>
            </w:r>
          </w:p>
        </w:tc>
        <w:tc>
          <w:tcPr>
            <w:tcW w:w="2159" w:type="dxa"/>
            <w:noWrap/>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投标品牌</w:t>
            </w:r>
            <w:r>
              <w:rPr>
                <w:rFonts w:hint="eastAsia" w:ascii="仿宋" w:hAnsi="仿宋" w:eastAsia="仿宋" w:cs="仿宋"/>
                <w:b/>
                <w:color w:val="auto"/>
                <w:lang w:val="en-US" w:eastAsia="zh-CN"/>
              </w:rPr>
              <w:t>型号</w:t>
            </w:r>
          </w:p>
        </w:tc>
        <w:tc>
          <w:tcPr>
            <w:tcW w:w="622" w:type="dxa"/>
            <w:noWrap/>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单位</w:t>
            </w:r>
          </w:p>
        </w:tc>
        <w:tc>
          <w:tcPr>
            <w:tcW w:w="642" w:type="dxa"/>
            <w:noWrap/>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数量</w:t>
            </w:r>
          </w:p>
        </w:tc>
        <w:tc>
          <w:tcPr>
            <w:tcW w:w="1886" w:type="dxa"/>
            <w:noWrap/>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投标报价（元）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exact"/>
          <w:jc w:val="center"/>
        </w:trPr>
        <w:tc>
          <w:tcPr>
            <w:tcW w:w="595" w:type="dxa"/>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2260" w:type="dxa"/>
            <w:noWrap/>
            <w:vAlign w:val="center"/>
          </w:tcPr>
          <w:p>
            <w:pPr>
              <w:jc w:val="center"/>
              <w:rPr>
                <w:rFonts w:ascii="仿宋" w:hAnsi="仿宋" w:eastAsia="仿宋" w:cs="宋体"/>
                <w:color w:val="auto"/>
                <w:kern w:val="0"/>
                <w:sz w:val="24"/>
              </w:rPr>
            </w:pPr>
            <w:r>
              <w:rPr>
                <w:rFonts w:hint="eastAsia" w:ascii="仿宋" w:hAnsi="仿宋" w:eastAsia="仿宋" w:cs="宋体"/>
                <w:color w:val="auto"/>
                <w:kern w:val="0"/>
                <w:sz w:val="24"/>
                <w:lang w:eastAsia="zh-CN"/>
              </w:rPr>
              <w:t>移动消防救援设备</w:t>
            </w:r>
          </w:p>
        </w:tc>
        <w:tc>
          <w:tcPr>
            <w:tcW w:w="2159" w:type="dxa"/>
            <w:noWrap/>
            <w:vAlign w:val="center"/>
          </w:tcPr>
          <w:p>
            <w:pPr>
              <w:jc w:val="center"/>
              <w:rPr>
                <w:rFonts w:ascii="仿宋" w:hAnsi="仿宋" w:eastAsia="仿宋" w:cs="宋体"/>
                <w:color w:val="auto"/>
                <w:kern w:val="0"/>
                <w:sz w:val="24"/>
              </w:rPr>
            </w:pPr>
          </w:p>
        </w:tc>
        <w:tc>
          <w:tcPr>
            <w:tcW w:w="622" w:type="dxa"/>
            <w:noWrap/>
            <w:vAlign w:val="center"/>
          </w:tcPr>
          <w:p>
            <w:pPr>
              <w:jc w:val="center"/>
              <w:rPr>
                <w:rFonts w:hint="default"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台</w:t>
            </w:r>
          </w:p>
        </w:tc>
        <w:tc>
          <w:tcPr>
            <w:tcW w:w="642" w:type="dxa"/>
            <w:noWrap/>
            <w:vAlign w:val="center"/>
          </w:tcPr>
          <w:p>
            <w:pPr>
              <w:jc w:val="center"/>
              <w:rPr>
                <w:rFonts w:ascii="仿宋" w:hAnsi="仿宋" w:eastAsia="仿宋" w:cs="宋体"/>
                <w:color w:val="auto"/>
                <w:kern w:val="0"/>
                <w:sz w:val="24"/>
              </w:rPr>
            </w:pPr>
            <w:r>
              <w:rPr>
                <w:rFonts w:hint="eastAsia" w:ascii="仿宋" w:hAnsi="仿宋" w:eastAsia="仿宋" w:cs="宋体"/>
                <w:color w:val="auto"/>
                <w:kern w:val="0"/>
                <w:sz w:val="24"/>
              </w:rPr>
              <w:t>1</w:t>
            </w:r>
          </w:p>
        </w:tc>
        <w:tc>
          <w:tcPr>
            <w:tcW w:w="1886" w:type="dxa"/>
            <w:noWrap/>
            <w:vAlign w:val="center"/>
          </w:tcPr>
          <w:p>
            <w:pPr>
              <w:jc w:val="center"/>
              <w:rPr>
                <w:rFonts w:ascii="仿宋" w:hAnsi="仿宋" w:eastAsia="仿宋"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exact"/>
          <w:jc w:val="center"/>
        </w:trPr>
        <w:tc>
          <w:tcPr>
            <w:tcW w:w="2855" w:type="dxa"/>
            <w:gridSpan w:val="2"/>
            <w:noWrap/>
            <w:vAlign w:val="center"/>
          </w:tcPr>
          <w:p>
            <w:pPr>
              <w:pStyle w:val="10"/>
              <w:widowControl/>
              <w:spacing w:before="225" w:beforeAutospacing="0" w:after="225" w:afterAutospacing="0" w:line="0" w:lineRule="atLeast"/>
              <w:jc w:val="center"/>
              <w:rPr>
                <w:rFonts w:ascii="仿宋" w:hAnsi="仿宋" w:eastAsia="仿宋" w:cs="仿宋"/>
                <w:b/>
                <w:bCs/>
                <w:color w:val="auto"/>
                <w:highlight w:val="yellow"/>
              </w:rPr>
            </w:pPr>
            <w:r>
              <w:rPr>
                <w:rStyle w:val="14"/>
                <w:rFonts w:hint="eastAsia" w:ascii="仿宋" w:hAnsi="仿宋" w:eastAsia="仿宋" w:cs="仿宋"/>
                <w:bCs/>
                <w:color w:val="auto"/>
                <w:shd w:val="clear" w:color="auto" w:fill="FFFFFF"/>
              </w:rPr>
              <w:t>合计</w:t>
            </w:r>
          </w:p>
        </w:tc>
        <w:tc>
          <w:tcPr>
            <w:tcW w:w="5309" w:type="dxa"/>
            <w:gridSpan w:val="4"/>
            <w:noWrap/>
            <w:vAlign w:val="center"/>
          </w:tcPr>
          <w:p>
            <w:pPr>
              <w:pStyle w:val="10"/>
              <w:widowControl/>
              <w:tabs>
                <w:tab w:val="left" w:pos="1839"/>
              </w:tabs>
              <w:spacing w:before="225" w:beforeAutospacing="0" w:after="225" w:afterAutospacing="0" w:line="0" w:lineRule="atLeast"/>
              <w:jc w:val="center"/>
              <w:rPr>
                <w:rFonts w:ascii="仿宋" w:hAnsi="仿宋" w:eastAsia="仿宋" w:cs="仿宋"/>
                <w:b/>
                <w:bCs/>
                <w:color w:val="auto"/>
              </w:rPr>
            </w:pPr>
            <w:r>
              <w:rPr>
                <w:rFonts w:hint="eastAsia" w:ascii="仿宋" w:hAnsi="仿宋" w:eastAsia="仿宋" w:cs="仿宋"/>
                <w:b/>
                <w:bCs/>
                <w:color w:val="auto"/>
              </w:rPr>
              <w:t>人民币：元整（￥元）</w:t>
            </w:r>
          </w:p>
        </w:tc>
      </w:tr>
    </w:tbl>
    <w:p>
      <w:pPr>
        <w:spacing w:line="340" w:lineRule="exact"/>
        <w:jc w:val="left"/>
        <w:rPr>
          <w:rFonts w:ascii="仿宋" w:hAnsi="仿宋" w:eastAsia="仿宋"/>
          <w:b/>
          <w:color w:val="auto"/>
          <w:sz w:val="24"/>
        </w:rPr>
      </w:pPr>
    </w:p>
    <w:p>
      <w:pPr>
        <w:rPr>
          <w:rFonts w:ascii="仿宋" w:hAnsi="仿宋" w:eastAsia="仿宋" w:cs="仿宋_GB2312"/>
          <w:b/>
          <w:color w:val="auto"/>
          <w:szCs w:val="21"/>
        </w:rPr>
      </w:pPr>
      <w:r>
        <w:rPr>
          <w:rFonts w:hint="eastAsia" w:ascii="仿宋" w:hAnsi="仿宋" w:eastAsia="仿宋" w:cs="仿宋_GB2312"/>
          <w:b/>
          <w:color w:val="auto"/>
          <w:szCs w:val="21"/>
        </w:rPr>
        <w:t>注：以上投标报价包含货物费、运输费、安装调试费、</w:t>
      </w:r>
      <w:r>
        <w:rPr>
          <w:rFonts w:hint="eastAsia" w:ascii="仿宋" w:hAnsi="仿宋" w:eastAsia="仿宋" w:cs="仿宋_GB2312"/>
          <w:b/>
          <w:color w:val="auto"/>
          <w:szCs w:val="21"/>
          <w:lang w:val="en-US" w:eastAsia="zh-CN"/>
        </w:rPr>
        <w:t>保险费、</w:t>
      </w:r>
      <w:r>
        <w:rPr>
          <w:rFonts w:hint="eastAsia" w:ascii="仿宋" w:hAnsi="仿宋" w:eastAsia="仿宋" w:cs="仿宋_GB2312"/>
          <w:b/>
          <w:color w:val="auto"/>
          <w:szCs w:val="21"/>
        </w:rPr>
        <w:t>服务费、税费等全部费用在内，</w:t>
      </w:r>
    </w:p>
    <w:p>
      <w:pPr>
        <w:widowControl/>
        <w:jc w:val="left"/>
        <w:rPr>
          <w:rFonts w:ascii="仿宋" w:hAnsi="仿宋" w:eastAsia="仿宋"/>
          <w:color w:val="auto"/>
          <w:sz w:val="24"/>
        </w:rPr>
      </w:pPr>
    </w:p>
    <w:p>
      <w:pPr>
        <w:widowControl/>
        <w:ind w:firstLine="5040" w:firstLineChars="2100"/>
        <w:jc w:val="left"/>
        <w:rPr>
          <w:rFonts w:ascii="仿宋" w:hAnsi="仿宋" w:eastAsia="仿宋"/>
          <w:color w:val="auto"/>
          <w:sz w:val="24"/>
        </w:rPr>
      </w:pPr>
      <w:r>
        <w:rPr>
          <w:rFonts w:hint="eastAsia" w:ascii="仿宋" w:hAnsi="仿宋" w:eastAsia="仿宋"/>
          <w:color w:val="auto"/>
          <w:sz w:val="24"/>
        </w:rPr>
        <w:t>授权代表签字：</w:t>
      </w:r>
    </w:p>
    <w:p>
      <w:pPr>
        <w:spacing w:line="360" w:lineRule="auto"/>
        <w:ind w:right="120" w:firstLine="5040" w:firstLineChars="2100"/>
        <w:jc w:val="left"/>
        <w:rPr>
          <w:rFonts w:ascii="仿宋" w:hAnsi="仿宋" w:eastAsia="仿宋"/>
          <w:color w:val="auto"/>
          <w:sz w:val="24"/>
        </w:rPr>
      </w:pPr>
      <w:r>
        <w:rPr>
          <w:rFonts w:hint="eastAsia" w:ascii="仿宋" w:hAnsi="仿宋" w:eastAsia="仿宋"/>
          <w:color w:val="auto"/>
          <w:sz w:val="24"/>
        </w:rPr>
        <w:t>投标人（盖章）：</w:t>
      </w:r>
    </w:p>
    <w:p>
      <w:pPr>
        <w:rPr>
          <w:color w:val="auto"/>
        </w:rPr>
      </w:pPr>
      <w:r>
        <w:rPr>
          <w:rFonts w:hint="eastAsia"/>
          <w:color w:val="auto"/>
        </w:rPr>
        <w:t xml:space="preserve">                                               </w:t>
      </w:r>
      <w:r>
        <w:rPr>
          <w:rFonts w:hint="eastAsia" w:ascii="仿宋" w:hAnsi="仿宋" w:eastAsia="仿宋"/>
          <w:color w:val="auto"/>
          <w:sz w:val="24"/>
        </w:rPr>
        <w:t xml:space="preserve"> 2024</w:t>
      </w:r>
      <w:r>
        <w:rPr>
          <w:rFonts w:hint="eastAsia"/>
          <w:color w:val="auto"/>
        </w:rPr>
        <w:t>年   月   日</w:t>
      </w:r>
    </w:p>
    <w:p>
      <w:pPr>
        <w:widowControl/>
        <w:jc w:val="left"/>
        <w:rPr>
          <w:rFonts w:ascii="仿宋" w:hAnsi="仿宋" w:eastAsia="仿宋"/>
          <w:b/>
          <w:color w:val="auto"/>
          <w:sz w:val="24"/>
        </w:rPr>
      </w:pPr>
    </w:p>
    <w:p>
      <w:pPr>
        <w:widowControl/>
        <w:jc w:val="left"/>
        <w:rPr>
          <w:rFonts w:ascii="仿宋" w:hAnsi="仿宋" w:eastAsia="仿宋"/>
          <w:b/>
          <w:color w:val="auto"/>
          <w:sz w:val="24"/>
        </w:rPr>
      </w:pPr>
    </w:p>
    <w:p>
      <w:pPr>
        <w:pStyle w:val="2"/>
        <w:rPr>
          <w:rFonts w:ascii="仿宋" w:hAnsi="仿宋" w:eastAsia="仿宋"/>
          <w:b/>
          <w:color w:val="auto"/>
          <w:sz w:val="24"/>
        </w:rPr>
      </w:pPr>
    </w:p>
    <w:p>
      <w:pPr>
        <w:widowControl/>
        <w:jc w:val="left"/>
        <w:rPr>
          <w:rFonts w:hint="eastAsia" w:ascii="仿宋" w:hAnsi="仿宋" w:eastAsia="仿宋"/>
          <w:b/>
          <w:color w:val="auto"/>
          <w:sz w:val="24"/>
          <w:lang w:val="en-US" w:eastAsia="zh-CN"/>
        </w:rPr>
      </w:pPr>
      <w:r>
        <w:rPr>
          <w:rFonts w:hint="eastAsia" w:ascii="仿宋" w:hAnsi="仿宋" w:eastAsia="仿宋"/>
          <w:b/>
          <w:color w:val="auto"/>
          <w:sz w:val="24"/>
        </w:rPr>
        <w:t>附件</w:t>
      </w:r>
      <w:r>
        <w:rPr>
          <w:rFonts w:hint="eastAsia" w:ascii="仿宋" w:hAnsi="仿宋" w:eastAsia="仿宋"/>
          <w:b/>
          <w:color w:val="auto"/>
          <w:sz w:val="24"/>
          <w:lang w:val="en-US" w:eastAsia="zh-CN"/>
        </w:rPr>
        <w:t>2</w:t>
      </w:r>
    </w:p>
    <w:p>
      <w:pPr>
        <w:spacing w:before="100" w:line="340" w:lineRule="exact"/>
        <w:ind w:firstLine="723" w:firstLineChars="200"/>
        <w:jc w:val="center"/>
        <w:rPr>
          <w:rFonts w:hint="default" w:ascii="仿宋" w:hAnsi="仿宋" w:eastAsia="仿宋"/>
          <w:b/>
          <w:color w:val="auto"/>
          <w:sz w:val="36"/>
          <w:szCs w:val="36"/>
          <w:lang w:val="en-US" w:eastAsia="zh-CN"/>
        </w:rPr>
      </w:pPr>
      <w:r>
        <w:rPr>
          <w:rFonts w:hint="eastAsia" w:ascii="仿宋" w:hAnsi="仿宋" w:eastAsia="仿宋"/>
          <w:b/>
          <w:color w:val="auto"/>
          <w:sz w:val="36"/>
          <w:szCs w:val="36"/>
        </w:rPr>
        <w:t>技术参数</w:t>
      </w:r>
      <w:r>
        <w:rPr>
          <w:rFonts w:hint="eastAsia" w:ascii="仿宋" w:hAnsi="仿宋" w:eastAsia="仿宋"/>
          <w:b/>
          <w:color w:val="auto"/>
          <w:sz w:val="36"/>
          <w:szCs w:val="36"/>
          <w:lang w:val="en-US" w:eastAsia="zh-CN"/>
        </w:rPr>
        <w:t>需求表</w:t>
      </w:r>
    </w:p>
    <w:p>
      <w:pPr>
        <w:rPr>
          <w:rFonts w:ascii="仿宋" w:hAnsi="仿宋" w:eastAsia="仿宋"/>
          <w:b/>
          <w:color w:val="auto"/>
          <w:sz w:val="24"/>
        </w:rPr>
      </w:pPr>
    </w:p>
    <w:tbl>
      <w:tblPr>
        <w:tblStyle w:val="11"/>
        <w:tblW w:w="94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6"/>
        <w:gridCol w:w="1230"/>
        <w:gridCol w:w="668"/>
        <w:gridCol w:w="1293"/>
        <w:gridCol w:w="5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参数名称</w:t>
            </w:r>
          </w:p>
        </w:tc>
        <w:tc>
          <w:tcPr>
            <w:tcW w:w="5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参数需求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座位数（含驾驶员）</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主要尺寸</w:t>
            </w: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长*宽*高(mm)</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（4300±200）×（1450±200）×（1850±200）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轴距(mm)</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2860±20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轮距</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前轮（mm）</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后轮（mm）</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1290±10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最小离地间隙(mm)</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整车整备质量(kg)</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满载质量（kg）</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≥1650kg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最高车速(km/h)</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最大爬坡度(满载%)</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最小转弯半径(m)</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制动距离(V=20km/h)(m)</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续行里程（km）</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电机</w:t>
            </w: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额定功率(KW)</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额定电压(V)</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AC72V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电机类型</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交流无刷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控制器</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72V/30A 电脑智能控制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蓄电池(AH)</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72V 155Ah：≥8 只免维护铅酸电池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充电器</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智能控制充电器（一根电源线随车携带，方便随时随地充电）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充电时间</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≤6-8 小时（放电率为≥80%）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动力传动系统</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直连式无级调速系统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转向系统</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EPS 电子助力循环球转向器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制动系统</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前盘式制动，后鼓式制动，带真空助力液压双回路制动系统。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紧急装置</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驾驶员可触及式紧急断电开关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前桥及悬挂</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整体式前桥，钢板弹簧悬挂+筒式液压减震器。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后桥及悬挂</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整体式后桥，带主减速及差速器，钢板弹簧悬挂+筒式液压减震器。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轮胎</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 xml:space="preserve">真空子午轮胎，13寸。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车身</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1.车身主要材质采用钣金件冲压</w:t>
            </w:r>
            <w:r>
              <w:rPr>
                <w:rFonts w:hint="eastAsia" w:ascii="仿宋" w:hAnsi="仿宋" w:eastAsia="仿宋" w:cs="仿宋"/>
                <w:b/>
                <w:bCs/>
                <w:i w:val="0"/>
                <w:iCs w:val="0"/>
                <w:color w:val="000000"/>
                <w:kern w:val="0"/>
                <w:sz w:val="24"/>
                <w:szCs w:val="24"/>
                <w:highlight w:val="none"/>
                <w:u w:val="none"/>
                <w:lang w:val="en-US" w:eastAsia="zh-CN" w:bidi="ar"/>
              </w:rPr>
              <w:t>（须提供车辆的车身材质冲压件生产厂家提供的材质介绍及彩色图片和资料）</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2.车架采用笼式防滚焊接形式</w:t>
            </w:r>
            <w:r>
              <w:rPr>
                <w:rFonts w:hint="eastAsia" w:ascii="仿宋" w:hAnsi="仿宋" w:eastAsia="仿宋" w:cs="仿宋"/>
                <w:b/>
                <w:bCs/>
                <w:i w:val="0"/>
                <w:iCs w:val="0"/>
                <w:color w:val="000000"/>
                <w:kern w:val="0"/>
                <w:sz w:val="24"/>
                <w:szCs w:val="24"/>
                <w:highlight w:val="none"/>
                <w:u w:val="none"/>
                <w:lang w:val="en-US" w:eastAsia="zh-CN" w:bidi="ar"/>
              </w:rPr>
              <w:t>（须提供焊接工艺相关的实拍图片及证明材料）</w:t>
            </w:r>
          </w:p>
          <w:p>
            <w:pPr>
              <w:keepNext w:val="0"/>
              <w:keepLines w:val="0"/>
              <w:widowControl/>
              <w:suppressLineNumbers w:val="0"/>
              <w:jc w:val="left"/>
              <w:textAlignment w:val="center"/>
              <w:rPr>
                <w:rFonts w:hint="eastAsia"/>
                <w:highlight w:val="none"/>
              </w:rPr>
            </w:pPr>
            <w:r>
              <w:rPr>
                <w:rFonts w:hint="eastAsia" w:ascii="仿宋" w:hAnsi="仿宋" w:eastAsia="仿宋" w:cs="仿宋"/>
                <w:i w:val="0"/>
                <w:iCs w:val="0"/>
                <w:color w:val="000000"/>
                <w:kern w:val="0"/>
                <w:sz w:val="24"/>
                <w:szCs w:val="24"/>
                <w:highlight w:val="none"/>
                <w:u w:val="none"/>
                <w:lang w:val="en-US" w:eastAsia="zh-CN" w:bidi="ar"/>
              </w:rPr>
              <w:t>3.分体式前后保险杠。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车头</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汽车前伸式安全防撞车头，前车轮布局在驾驶位正前方，可开启钣金前舱盖板(钣金前保注塑前格栅)。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后视镜</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左右可折叠式多视角外后视镜及宽视角无盲区后视镜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灯光及信号</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12V 灯光系统，整体式水晶组合前大灯总成、LED 尾,包含大灯、转向灯、制动灯、应急灯等信号。电喇叭及倒车蜂鸣提示音。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音响</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车载MP3机、防水型扬声器（2只）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开关</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启动开关、灯光及雨刮组合开关、进退档位开关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前档</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汽车专用钢化前挡玻璃+雨刮器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门</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有，2门可拆卸。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仪表台</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聚氨酯硬泡汽车仪表台，液晶组合仪表、聚氨脂方向盘。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专用配置</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警灯、警报器（带喊话功能）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38</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防腐处理</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采用整车阴极电泳</w:t>
            </w:r>
            <w:r>
              <w:rPr>
                <w:rFonts w:hint="eastAsia" w:ascii="仿宋" w:hAnsi="仿宋" w:eastAsia="仿宋" w:cs="仿宋"/>
                <w:b/>
                <w:bCs/>
                <w:i w:val="0"/>
                <w:iCs w:val="0"/>
                <w:color w:val="000000"/>
                <w:kern w:val="0"/>
                <w:sz w:val="24"/>
                <w:szCs w:val="24"/>
                <w:highlight w:val="none"/>
                <w:u w:val="none"/>
                <w:lang w:val="en-US" w:eastAsia="zh-CN" w:bidi="ar"/>
              </w:rPr>
              <w:t>（须提供厂区整车阴极电泳池的实拍彩色图片及相关资料）</w:t>
            </w:r>
            <w:bookmarkStart w:id="0" w:name="_GoBack"/>
            <w:bookmarkEnd w:id="0"/>
          </w:p>
          <w:p>
            <w:pPr>
              <w:keepNext w:val="0"/>
              <w:keepLines w:val="0"/>
              <w:widowControl/>
              <w:numPr>
                <w:ilvl w:val="0"/>
                <w:numId w:val="0"/>
              </w:numPr>
              <w:suppressLineNumbers w:val="0"/>
              <w:jc w:val="lef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2.油漆采用汽车专用油漆。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39</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底盘</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采用国标汽车专用钢材，阴极电泳处理。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水箱</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不锈钢材质，厚度2mm，有效容积≥750L。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w:t>
            </w:r>
          </w:p>
        </w:tc>
        <w:tc>
          <w:tcPr>
            <w:tcW w:w="123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手抬消防泵系统</w:t>
            </w: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发动机型式</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单缸汽油机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w:t>
            </w:r>
          </w:p>
        </w:tc>
        <w:tc>
          <w:tcPr>
            <w:tcW w:w="123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发动机功率</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9.6KW/13HP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43</w:t>
            </w:r>
          </w:p>
        </w:tc>
        <w:tc>
          <w:tcPr>
            <w:tcW w:w="123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重量</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≥60kg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44</w:t>
            </w:r>
          </w:p>
        </w:tc>
        <w:tc>
          <w:tcPr>
            <w:tcW w:w="123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吸水管连接方式</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螺纹式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45</w:t>
            </w:r>
          </w:p>
        </w:tc>
        <w:tc>
          <w:tcPr>
            <w:tcW w:w="123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出水压力</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≥0.55MPa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46</w:t>
            </w:r>
          </w:p>
        </w:tc>
        <w:tc>
          <w:tcPr>
            <w:tcW w:w="123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扬程</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≥50m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47</w:t>
            </w:r>
          </w:p>
        </w:tc>
        <w:tc>
          <w:tcPr>
            <w:tcW w:w="123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额定流量</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≥4.75m³/h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48</w:t>
            </w:r>
          </w:p>
        </w:tc>
        <w:tc>
          <w:tcPr>
            <w:tcW w:w="123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引水方式</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旋片真空泵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49</w:t>
            </w:r>
          </w:p>
        </w:tc>
        <w:tc>
          <w:tcPr>
            <w:tcW w:w="123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最大吸深</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50</w:t>
            </w:r>
          </w:p>
        </w:tc>
        <w:tc>
          <w:tcPr>
            <w:tcW w:w="123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引水时间</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≤18s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51</w:t>
            </w:r>
          </w:p>
        </w:tc>
        <w:tc>
          <w:tcPr>
            <w:tcW w:w="1230"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进出水管口径</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65mm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52</w:t>
            </w:r>
          </w:p>
        </w:tc>
        <w:tc>
          <w:tcPr>
            <w:tcW w:w="123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highlight w:val="none"/>
                <w:u w:val="none"/>
              </w:rPr>
            </w:pPr>
          </w:p>
        </w:tc>
        <w:tc>
          <w:tcPr>
            <w:tcW w:w="19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启动方式</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电启动、自回式手拉绳启动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53</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LED显示屏</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侧面加装LED显示屏尺寸长80cm宽19cm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54</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电池、轮胎生产日期</w:t>
            </w:r>
          </w:p>
        </w:tc>
        <w:tc>
          <w:tcPr>
            <w:tcW w:w="5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合同签字之日起前三个月内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55</w:t>
            </w:r>
          </w:p>
        </w:tc>
        <w:tc>
          <w:tcPr>
            <w:tcW w:w="31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w:t>
            </w:r>
          </w:p>
        </w:tc>
        <w:tc>
          <w:tcPr>
            <w:tcW w:w="5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三年保险(第三责任险50万/年，座位险10万/个)</w:t>
            </w:r>
          </w:p>
        </w:tc>
      </w:tr>
    </w:tbl>
    <w:p>
      <w:pPr>
        <w:pStyle w:val="2"/>
        <w:rPr>
          <w:rFonts w:ascii="仿宋" w:hAnsi="仿宋" w:eastAsia="仿宋"/>
          <w:b/>
          <w:color w:val="auto"/>
          <w:sz w:val="24"/>
        </w:rPr>
      </w:pPr>
    </w:p>
    <w:p>
      <w:pPr>
        <w:rPr>
          <w:rFonts w:ascii="仿宋" w:hAnsi="仿宋" w:eastAsia="仿宋"/>
          <w:b/>
          <w:color w:val="auto"/>
          <w:sz w:val="24"/>
        </w:rPr>
      </w:pPr>
    </w:p>
    <w:p>
      <w:pPr>
        <w:pStyle w:val="2"/>
      </w:pPr>
    </w:p>
    <w:p>
      <w:pPr>
        <w:widowControl/>
        <w:jc w:val="left"/>
        <w:rPr>
          <w:rFonts w:ascii="仿宋" w:hAnsi="仿宋" w:eastAsia="仿宋"/>
          <w:b/>
          <w:color w:val="auto"/>
          <w:sz w:val="24"/>
        </w:rPr>
      </w:pPr>
    </w:p>
    <w:p>
      <w:pPr>
        <w:widowControl/>
        <w:jc w:val="left"/>
        <w:rPr>
          <w:rFonts w:hint="eastAsia" w:ascii="仿宋" w:hAnsi="仿宋" w:eastAsia="仿宋"/>
          <w:b/>
          <w:color w:val="auto"/>
          <w:sz w:val="24"/>
          <w:lang w:val="en-US" w:eastAsia="zh-CN"/>
        </w:rPr>
      </w:pPr>
      <w:r>
        <w:rPr>
          <w:rFonts w:hint="eastAsia" w:ascii="仿宋" w:hAnsi="仿宋" w:eastAsia="仿宋"/>
          <w:b/>
          <w:color w:val="auto"/>
          <w:sz w:val="24"/>
        </w:rPr>
        <w:t>附件</w:t>
      </w:r>
      <w:r>
        <w:rPr>
          <w:rFonts w:hint="eastAsia" w:ascii="仿宋" w:hAnsi="仿宋" w:eastAsia="仿宋"/>
          <w:b/>
          <w:color w:val="auto"/>
          <w:sz w:val="24"/>
          <w:lang w:val="en-US" w:eastAsia="zh-CN"/>
        </w:rPr>
        <w:t>3</w:t>
      </w:r>
    </w:p>
    <w:p>
      <w:pPr>
        <w:spacing w:before="100" w:line="340" w:lineRule="exact"/>
        <w:ind w:firstLine="723" w:firstLineChars="200"/>
        <w:jc w:val="center"/>
        <w:rPr>
          <w:rFonts w:ascii="仿宋" w:hAnsi="仿宋" w:eastAsia="仿宋"/>
          <w:b/>
          <w:color w:val="auto"/>
          <w:sz w:val="36"/>
          <w:szCs w:val="36"/>
        </w:rPr>
      </w:pPr>
      <w:r>
        <w:rPr>
          <w:rFonts w:hint="eastAsia" w:ascii="仿宋" w:hAnsi="仿宋" w:eastAsia="仿宋"/>
          <w:b/>
          <w:color w:val="auto"/>
          <w:sz w:val="36"/>
          <w:szCs w:val="36"/>
        </w:rPr>
        <w:t>技术参数响应表</w:t>
      </w:r>
    </w:p>
    <w:p>
      <w:pPr>
        <w:spacing w:before="100" w:line="340" w:lineRule="exact"/>
        <w:ind w:firstLine="723" w:firstLineChars="200"/>
        <w:jc w:val="center"/>
        <w:rPr>
          <w:rFonts w:ascii="仿宋" w:hAnsi="仿宋" w:eastAsia="仿宋"/>
          <w:b/>
          <w:color w:val="auto"/>
          <w:sz w:val="36"/>
          <w:szCs w:val="36"/>
        </w:rPr>
      </w:pPr>
    </w:p>
    <w:p>
      <w:pPr>
        <w:rPr>
          <w:rFonts w:hint="eastAsia" w:ascii="仿宋" w:hAnsi="仿宋" w:eastAsia="仿宋" w:cs="宋体"/>
          <w:color w:val="auto"/>
          <w:kern w:val="0"/>
          <w:sz w:val="24"/>
          <w:lang w:eastAsia="zh-CN"/>
        </w:rPr>
      </w:pPr>
      <w:r>
        <w:rPr>
          <w:rFonts w:hint="eastAsia" w:ascii="仿宋" w:hAnsi="仿宋" w:eastAsia="仿宋"/>
          <w:b/>
          <w:color w:val="auto"/>
          <w:sz w:val="24"/>
        </w:rPr>
        <w:t>项目名称：</w:t>
      </w:r>
      <w:r>
        <w:rPr>
          <w:rFonts w:hint="eastAsia" w:ascii="仿宋" w:hAnsi="仿宋" w:eastAsia="仿宋" w:cs="宋体"/>
          <w:color w:val="auto"/>
          <w:kern w:val="0"/>
          <w:sz w:val="24"/>
          <w:lang w:eastAsia="zh-CN"/>
        </w:rPr>
        <w:t>湖州师范学院保卫处移动消防救援设备采购项目</w:t>
      </w:r>
    </w:p>
    <w:p>
      <w:pPr>
        <w:spacing w:line="340" w:lineRule="exact"/>
        <w:jc w:val="left"/>
        <w:rPr>
          <w:rFonts w:hint="eastAsia" w:ascii="仿宋" w:hAnsi="仿宋" w:eastAsia="仿宋"/>
          <w:color w:val="auto"/>
          <w:sz w:val="24"/>
          <w:lang w:eastAsia="zh-CN"/>
        </w:rPr>
      </w:pPr>
      <w:r>
        <w:rPr>
          <w:rFonts w:hint="eastAsia" w:ascii="仿宋" w:hAnsi="仿宋" w:eastAsia="仿宋"/>
          <w:b/>
          <w:color w:val="auto"/>
          <w:sz w:val="24"/>
        </w:rPr>
        <w:t>项目编号：</w:t>
      </w:r>
      <w:r>
        <w:rPr>
          <w:rFonts w:hint="eastAsia" w:ascii="仿宋" w:hAnsi="仿宋" w:eastAsia="仿宋"/>
          <w:color w:val="auto"/>
          <w:sz w:val="24"/>
          <w:lang w:eastAsia="zh-CN"/>
        </w:rPr>
        <w:t>XZ2024-026</w:t>
      </w:r>
    </w:p>
    <w:tbl>
      <w:tblPr>
        <w:tblStyle w:val="11"/>
        <w:tblW w:w="10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9"/>
        <w:gridCol w:w="2244"/>
        <w:gridCol w:w="2936"/>
        <w:gridCol w:w="2968"/>
        <w:gridCol w:w="1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exact"/>
          <w:jc w:val="center"/>
        </w:trPr>
        <w:tc>
          <w:tcPr>
            <w:tcW w:w="629" w:type="dxa"/>
            <w:noWrap/>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序号</w:t>
            </w:r>
          </w:p>
        </w:tc>
        <w:tc>
          <w:tcPr>
            <w:tcW w:w="2244" w:type="dxa"/>
            <w:noWrap/>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名称</w:t>
            </w:r>
          </w:p>
        </w:tc>
        <w:tc>
          <w:tcPr>
            <w:tcW w:w="2936" w:type="dxa"/>
            <w:noWrap/>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技术参数需求</w:t>
            </w:r>
          </w:p>
        </w:tc>
        <w:tc>
          <w:tcPr>
            <w:tcW w:w="2968" w:type="dxa"/>
            <w:noWrap/>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投标产品技术参数</w:t>
            </w:r>
          </w:p>
        </w:tc>
        <w:tc>
          <w:tcPr>
            <w:tcW w:w="1437" w:type="dxa"/>
            <w:noWrap/>
            <w:vAlign w:val="center"/>
          </w:tcPr>
          <w:p>
            <w:pPr>
              <w:pStyle w:val="10"/>
              <w:widowControl/>
              <w:spacing w:before="225" w:beforeAutospacing="0" w:after="225" w:afterAutospacing="0" w:line="0" w:lineRule="atLeast"/>
              <w:jc w:val="center"/>
              <w:rPr>
                <w:rFonts w:ascii="仿宋" w:hAnsi="仿宋" w:eastAsia="仿宋" w:cs="仿宋"/>
                <w:b/>
                <w:color w:val="auto"/>
              </w:rPr>
            </w:pPr>
            <w:r>
              <w:rPr>
                <w:rFonts w:hint="eastAsia" w:ascii="仿宋" w:hAnsi="仿宋" w:eastAsia="仿宋" w:cs="仿宋"/>
                <w:b/>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exact"/>
          <w:jc w:val="center"/>
        </w:trPr>
        <w:tc>
          <w:tcPr>
            <w:tcW w:w="629" w:type="dxa"/>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2244" w:type="dxa"/>
            <w:noWrap/>
            <w:vAlign w:val="center"/>
          </w:tcPr>
          <w:p>
            <w:pPr>
              <w:jc w:val="center"/>
              <w:rPr>
                <w:rFonts w:ascii="仿宋" w:hAnsi="仿宋" w:eastAsia="仿宋" w:cs="宋体"/>
                <w:color w:val="auto"/>
                <w:kern w:val="0"/>
                <w:sz w:val="24"/>
              </w:rPr>
            </w:pPr>
            <w:r>
              <w:rPr>
                <w:rFonts w:hint="eastAsia" w:ascii="仿宋" w:hAnsi="仿宋" w:eastAsia="仿宋" w:cs="仿宋"/>
                <w:i w:val="0"/>
                <w:iCs w:val="0"/>
                <w:color w:val="000000"/>
                <w:kern w:val="0"/>
                <w:sz w:val="24"/>
                <w:szCs w:val="24"/>
                <w:u w:val="none"/>
                <w:lang w:val="en-US" w:eastAsia="zh-CN" w:bidi="ar"/>
              </w:rPr>
              <w:t>座位数（含驾驶员）</w:t>
            </w:r>
          </w:p>
        </w:tc>
        <w:tc>
          <w:tcPr>
            <w:tcW w:w="2936" w:type="dxa"/>
            <w:noWrap/>
            <w:vAlign w:val="center"/>
          </w:tcPr>
          <w:p>
            <w:pPr>
              <w:keepNext w:val="0"/>
              <w:keepLines w:val="0"/>
              <w:widowControl/>
              <w:suppressLineNumbers w:val="0"/>
              <w:jc w:val="left"/>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2</w:t>
            </w:r>
          </w:p>
        </w:tc>
        <w:tc>
          <w:tcPr>
            <w:tcW w:w="2968" w:type="dxa"/>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p>
        </w:tc>
        <w:tc>
          <w:tcPr>
            <w:tcW w:w="1437" w:type="dxa"/>
            <w:noWrap/>
            <w:vAlign w:val="center"/>
          </w:tcPr>
          <w:p>
            <w:pPr>
              <w:rPr>
                <w:rFonts w:ascii="仿宋" w:hAnsi="仿宋" w:eastAsia="仿宋"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exact"/>
          <w:jc w:val="center"/>
        </w:trPr>
        <w:tc>
          <w:tcPr>
            <w:tcW w:w="629" w:type="dxa"/>
            <w:noWrap/>
            <w:vAlign w:val="center"/>
          </w:tcPr>
          <w:p>
            <w:pPr>
              <w:widowControl/>
              <w:jc w:val="center"/>
              <w:textAlignment w:val="center"/>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w:t>
            </w:r>
          </w:p>
        </w:tc>
        <w:tc>
          <w:tcPr>
            <w:tcW w:w="2244" w:type="dxa"/>
            <w:noWrap/>
            <w:vAlign w:val="center"/>
          </w:tcPr>
          <w:p>
            <w:pPr>
              <w:jc w:val="center"/>
              <w:rPr>
                <w:rFonts w:hint="default"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w:t>
            </w:r>
          </w:p>
        </w:tc>
        <w:tc>
          <w:tcPr>
            <w:tcW w:w="2936" w:type="dxa"/>
            <w:noWrap/>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2968" w:type="dxa"/>
            <w:noWrap/>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4"/>
                <w:szCs w:val="24"/>
                <w:u w:val="none"/>
                <w:lang w:val="en-US" w:eastAsia="zh-CN" w:bidi="ar"/>
              </w:rPr>
            </w:pPr>
          </w:p>
        </w:tc>
        <w:tc>
          <w:tcPr>
            <w:tcW w:w="1437" w:type="dxa"/>
            <w:noWrap/>
            <w:vAlign w:val="center"/>
          </w:tcPr>
          <w:p>
            <w:pPr>
              <w:rPr>
                <w:rFonts w:ascii="仿宋" w:hAnsi="仿宋" w:eastAsia="仿宋" w:cs="宋体"/>
                <w:color w:val="auto"/>
                <w:kern w:val="0"/>
                <w:sz w:val="24"/>
              </w:rPr>
            </w:pPr>
          </w:p>
        </w:tc>
      </w:tr>
    </w:tbl>
    <w:p>
      <w:pPr>
        <w:spacing w:line="340" w:lineRule="exact"/>
        <w:jc w:val="left"/>
        <w:rPr>
          <w:rFonts w:ascii="仿宋" w:hAnsi="仿宋" w:eastAsia="仿宋"/>
          <w:b/>
          <w:color w:val="auto"/>
          <w:sz w:val="24"/>
        </w:rPr>
      </w:pPr>
    </w:p>
    <w:p>
      <w:pPr>
        <w:rPr>
          <w:rFonts w:hint="eastAsia" w:ascii="仿宋" w:hAnsi="仿宋" w:eastAsia="仿宋" w:cs="仿宋_GB2312"/>
          <w:b/>
          <w:color w:val="auto"/>
          <w:szCs w:val="21"/>
          <w:lang w:eastAsia="zh-CN"/>
        </w:rPr>
      </w:pPr>
      <w:r>
        <w:rPr>
          <w:rFonts w:hint="eastAsia" w:ascii="仿宋" w:hAnsi="仿宋" w:eastAsia="仿宋" w:cs="仿宋_GB2312"/>
          <w:b/>
          <w:color w:val="auto"/>
          <w:szCs w:val="21"/>
          <w:lang w:val="en-US" w:eastAsia="zh-CN"/>
        </w:rPr>
        <w:t>注：根据技术参数需求表制作，</w:t>
      </w:r>
      <w:r>
        <w:rPr>
          <w:rFonts w:hint="eastAsia" w:ascii="仿宋" w:hAnsi="仿宋" w:eastAsia="仿宋" w:cs="仿宋_GB2312"/>
          <w:b/>
          <w:color w:val="auto"/>
          <w:szCs w:val="21"/>
        </w:rPr>
        <w:t>技术参数存在负偏离作无效标处理</w:t>
      </w:r>
      <w:r>
        <w:rPr>
          <w:rFonts w:hint="eastAsia" w:ascii="仿宋" w:hAnsi="仿宋" w:eastAsia="仿宋" w:cs="仿宋_GB2312"/>
          <w:b/>
          <w:color w:val="auto"/>
          <w:szCs w:val="21"/>
          <w:lang w:eastAsia="zh-CN"/>
        </w:rPr>
        <w:t>。</w:t>
      </w:r>
    </w:p>
    <w:p>
      <w:pPr>
        <w:widowControl/>
        <w:ind w:firstLine="5040" w:firstLineChars="2100"/>
        <w:jc w:val="left"/>
        <w:rPr>
          <w:rFonts w:hint="eastAsia" w:ascii="仿宋" w:hAnsi="仿宋" w:eastAsia="仿宋"/>
          <w:color w:val="auto"/>
          <w:sz w:val="24"/>
        </w:rPr>
      </w:pPr>
    </w:p>
    <w:p>
      <w:pPr>
        <w:widowControl/>
        <w:ind w:firstLine="5040" w:firstLineChars="2100"/>
        <w:jc w:val="left"/>
        <w:rPr>
          <w:rFonts w:hint="eastAsia" w:ascii="仿宋" w:hAnsi="仿宋" w:eastAsia="仿宋"/>
          <w:color w:val="auto"/>
          <w:sz w:val="24"/>
        </w:rPr>
      </w:pPr>
    </w:p>
    <w:p>
      <w:pPr>
        <w:widowControl/>
        <w:ind w:firstLine="5040" w:firstLineChars="2100"/>
        <w:jc w:val="left"/>
        <w:rPr>
          <w:rFonts w:ascii="仿宋" w:hAnsi="仿宋" w:eastAsia="仿宋"/>
          <w:color w:val="auto"/>
          <w:sz w:val="24"/>
        </w:rPr>
      </w:pPr>
      <w:r>
        <w:rPr>
          <w:rFonts w:hint="eastAsia" w:ascii="仿宋" w:hAnsi="仿宋" w:eastAsia="仿宋"/>
          <w:color w:val="auto"/>
          <w:sz w:val="24"/>
        </w:rPr>
        <w:t>授权代表签字：</w:t>
      </w:r>
    </w:p>
    <w:p>
      <w:pPr>
        <w:spacing w:line="360" w:lineRule="auto"/>
        <w:ind w:right="120" w:firstLine="5040" w:firstLineChars="2100"/>
        <w:jc w:val="left"/>
        <w:rPr>
          <w:rFonts w:ascii="仿宋" w:hAnsi="仿宋" w:eastAsia="仿宋"/>
          <w:color w:val="auto"/>
          <w:sz w:val="24"/>
        </w:rPr>
      </w:pPr>
      <w:r>
        <w:rPr>
          <w:rFonts w:hint="eastAsia" w:ascii="仿宋" w:hAnsi="仿宋" w:eastAsia="仿宋"/>
          <w:color w:val="auto"/>
          <w:sz w:val="24"/>
        </w:rPr>
        <w:t>投标人（盖章）：</w:t>
      </w:r>
    </w:p>
    <w:p>
      <w:pPr>
        <w:rPr>
          <w:color w:val="auto"/>
        </w:rPr>
      </w:pPr>
      <w:r>
        <w:rPr>
          <w:rFonts w:hint="eastAsia"/>
          <w:color w:val="auto"/>
        </w:rPr>
        <w:t xml:space="preserve">                                               </w:t>
      </w:r>
      <w:r>
        <w:rPr>
          <w:rFonts w:hint="eastAsia" w:ascii="仿宋" w:hAnsi="仿宋" w:eastAsia="仿宋"/>
          <w:color w:val="auto"/>
          <w:sz w:val="24"/>
        </w:rPr>
        <w:t xml:space="preserve"> 2024</w:t>
      </w:r>
      <w:r>
        <w:rPr>
          <w:rFonts w:hint="eastAsia"/>
          <w:color w:val="auto"/>
        </w:rPr>
        <w:t>年   月   日</w:t>
      </w:r>
    </w:p>
    <w:p>
      <w:pPr>
        <w:pStyle w:val="5"/>
        <w:rPr>
          <w:color w:val="auto"/>
        </w:rPr>
      </w:pPr>
    </w:p>
    <w:sectPr>
      <w:pgSz w:w="11906" w:h="16838"/>
      <w:pgMar w:top="1134" w:right="1020" w:bottom="1134" w:left="1020"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8B5AF"/>
    <w:multiLevelType w:val="singleLevel"/>
    <w:tmpl w:val="F8F8B5A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mYTcyMmZiMDk2YzJmNjU0Y2I1YzE5MTg1MjQ0OWQifQ=="/>
  </w:docVars>
  <w:rsids>
    <w:rsidRoot w:val="003021B3"/>
    <w:rsid w:val="0000054B"/>
    <w:rsid w:val="00004BC3"/>
    <w:rsid w:val="00016058"/>
    <w:rsid w:val="00017251"/>
    <w:rsid w:val="000274EC"/>
    <w:rsid w:val="00033134"/>
    <w:rsid w:val="00041704"/>
    <w:rsid w:val="00045A57"/>
    <w:rsid w:val="000529EB"/>
    <w:rsid w:val="00053765"/>
    <w:rsid w:val="00053FAA"/>
    <w:rsid w:val="00067F57"/>
    <w:rsid w:val="00070C1A"/>
    <w:rsid w:val="00071969"/>
    <w:rsid w:val="00073DA5"/>
    <w:rsid w:val="00074A37"/>
    <w:rsid w:val="00083BE2"/>
    <w:rsid w:val="000918EC"/>
    <w:rsid w:val="00095BE3"/>
    <w:rsid w:val="000A2632"/>
    <w:rsid w:val="000A4D90"/>
    <w:rsid w:val="000A5271"/>
    <w:rsid w:val="000A5287"/>
    <w:rsid w:val="000A550F"/>
    <w:rsid w:val="000A636C"/>
    <w:rsid w:val="000A7397"/>
    <w:rsid w:val="000B37C1"/>
    <w:rsid w:val="000B4F60"/>
    <w:rsid w:val="000B5C26"/>
    <w:rsid w:val="000B7057"/>
    <w:rsid w:val="000B741E"/>
    <w:rsid w:val="000C5428"/>
    <w:rsid w:val="000D295B"/>
    <w:rsid w:val="000E36C4"/>
    <w:rsid w:val="000E5186"/>
    <w:rsid w:val="000F611C"/>
    <w:rsid w:val="00103DF6"/>
    <w:rsid w:val="00103E96"/>
    <w:rsid w:val="00107645"/>
    <w:rsid w:val="00114986"/>
    <w:rsid w:val="00124959"/>
    <w:rsid w:val="0013413B"/>
    <w:rsid w:val="00142043"/>
    <w:rsid w:val="001424F5"/>
    <w:rsid w:val="00164D28"/>
    <w:rsid w:val="00170EF8"/>
    <w:rsid w:val="001758ED"/>
    <w:rsid w:val="00181813"/>
    <w:rsid w:val="001871BA"/>
    <w:rsid w:val="00196958"/>
    <w:rsid w:val="0019725C"/>
    <w:rsid w:val="001B65C1"/>
    <w:rsid w:val="001B6CE3"/>
    <w:rsid w:val="001C604E"/>
    <w:rsid w:val="001D1CA6"/>
    <w:rsid w:val="001F0AE2"/>
    <w:rsid w:val="001F18CA"/>
    <w:rsid w:val="001F56B0"/>
    <w:rsid w:val="00200CBC"/>
    <w:rsid w:val="00206928"/>
    <w:rsid w:val="00206BE9"/>
    <w:rsid w:val="00211618"/>
    <w:rsid w:val="002222D6"/>
    <w:rsid w:val="002323B0"/>
    <w:rsid w:val="00235100"/>
    <w:rsid w:val="00235FE7"/>
    <w:rsid w:val="00236A7F"/>
    <w:rsid w:val="00236F5F"/>
    <w:rsid w:val="002458CA"/>
    <w:rsid w:val="002468BA"/>
    <w:rsid w:val="00255EE9"/>
    <w:rsid w:val="00260836"/>
    <w:rsid w:val="002670D9"/>
    <w:rsid w:val="00272ACA"/>
    <w:rsid w:val="00273490"/>
    <w:rsid w:val="00297367"/>
    <w:rsid w:val="002A4C53"/>
    <w:rsid w:val="002A6B23"/>
    <w:rsid w:val="002A7110"/>
    <w:rsid w:val="002B5C50"/>
    <w:rsid w:val="002C22FC"/>
    <w:rsid w:val="002C5B4A"/>
    <w:rsid w:val="002D47CE"/>
    <w:rsid w:val="002D47DD"/>
    <w:rsid w:val="002D5E52"/>
    <w:rsid w:val="002E558C"/>
    <w:rsid w:val="002F1D2C"/>
    <w:rsid w:val="003021B3"/>
    <w:rsid w:val="00312E86"/>
    <w:rsid w:val="003154AB"/>
    <w:rsid w:val="00316E95"/>
    <w:rsid w:val="00324436"/>
    <w:rsid w:val="003249F3"/>
    <w:rsid w:val="00331686"/>
    <w:rsid w:val="00342BB1"/>
    <w:rsid w:val="00354DFE"/>
    <w:rsid w:val="003674A5"/>
    <w:rsid w:val="00367BCF"/>
    <w:rsid w:val="003720F1"/>
    <w:rsid w:val="00384CBE"/>
    <w:rsid w:val="00385179"/>
    <w:rsid w:val="00387E0F"/>
    <w:rsid w:val="00390C90"/>
    <w:rsid w:val="00391C4B"/>
    <w:rsid w:val="00393E06"/>
    <w:rsid w:val="003B2A77"/>
    <w:rsid w:val="003B6995"/>
    <w:rsid w:val="003C19D7"/>
    <w:rsid w:val="003C2DA7"/>
    <w:rsid w:val="003E6487"/>
    <w:rsid w:val="00407F40"/>
    <w:rsid w:val="0041462C"/>
    <w:rsid w:val="00432D33"/>
    <w:rsid w:val="00433ED5"/>
    <w:rsid w:val="0043498D"/>
    <w:rsid w:val="004368C6"/>
    <w:rsid w:val="00441BE4"/>
    <w:rsid w:val="00460BD6"/>
    <w:rsid w:val="004749F2"/>
    <w:rsid w:val="004770CB"/>
    <w:rsid w:val="00483CE6"/>
    <w:rsid w:val="00485A07"/>
    <w:rsid w:val="00490B6F"/>
    <w:rsid w:val="00494C63"/>
    <w:rsid w:val="004A2667"/>
    <w:rsid w:val="004A56B6"/>
    <w:rsid w:val="004A758A"/>
    <w:rsid w:val="004B0ADF"/>
    <w:rsid w:val="004C1F18"/>
    <w:rsid w:val="004C72AD"/>
    <w:rsid w:val="004D1DF2"/>
    <w:rsid w:val="004E6DF2"/>
    <w:rsid w:val="004F36E3"/>
    <w:rsid w:val="00503C41"/>
    <w:rsid w:val="005269E8"/>
    <w:rsid w:val="00535608"/>
    <w:rsid w:val="00542203"/>
    <w:rsid w:val="00542BC8"/>
    <w:rsid w:val="0055543E"/>
    <w:rsid w:val="00566731"/>
    <w:rsid w:val="00572394"/>
    <w:rsid w:val="0058019E"/>
    <w:rsid w:val="0058789F"/>
    <w:rsid w:val="005930D7"/>
    <w:rsid w:val="00594E0A"/>
    <w:rsid w:val="005A1824"/>
    <w:rsid w:val="005A3E25"/>
    <w:rsid w:val="005B6575"/>
    <w:rsid w:val="005C1E82"/>
    <w:rsid w:val="005C3567"/>
    <w:rsid w:val="005C3D8C"/>
    <w:rsid w:val="005D04A6"/>
    <w:rsid w:val="005D553D"/>
    <w:rsid w:val="005D76A8"/>
    <w:rsid w:val="005E2BCB"/>
    <w:rsid w:val="005F005C"/>
    <w:rsid w:val="005F2C25"/>
    <w:rsid w:val="005F629A"/>
    <w:rsid w:val="005F62AB"/>
    <w:rsid w:val="005F6475"/>
    <w:rsid w:val="006003D1"/>
    <w:rsid w:val="00607785"/>
    <w:rsid w:val="00611B8C"/>
    <w:rsid w:val="00614DC6"/>
    <w:rsid w:val="00640E94"/>
    <w:rsid w:val="00646617"/>
    <w:rsid w:val="0066689D"/>
    <w:rsid w:val="00666CBF"/>
    <w:rsid w:val="00670E5E"/>
    <w:rsid w:val="00671345"/>
    <w:rsid w:val="0067278C"/>
    <w:rsid w:val="006727CA"/>
    <w:rsid w:val="00680592"/>
    <w:rsid w:val="006841CC"/>
    <w:rsid w:val="00686EBA"/>
    <w:rsid w:val="0069035B"/>
    <w:rsid w:val="00692B20"/>
    <w:rsid w:val="00696174"/>
    <w:rsid w:val="006A7822"/>
    <w:rsid w:val="006B62D4"/>
    <w:rsid w:val="006C1E8B"/>
    <w:rsid w:val="006C1EAD"/>
    <w:rsid w:val="006C48B4"/>
    <w:rsid w:val="006C4AEC"/>
    <w:rsid w:val="006C673A"/>
    <w:rsid w:val="006E4075"/>
    <w:rsid w:val="00704A2E"/>
    <w:rsid w:val="00707602"/>
    <w:rsid w:val="007128AE"/>
    <w:rsid w:val="007163A5"/>
    <w:rsid w:val="00720803"/>
    <w:rsid w:val="00732EF9"/>
    <w:rsid w:val="00735C38"/>
    <w:rsid w:val="00736AE9"/>
    <w:rsid w:val="00740808"/>
    <w:rsid w:val="00742BA7"/>
    <w:rsid w:val="00745CE3"/>
    <w:rsid w:val="007472C6"/>
    <w:rsid w:val="007502F8"/>
    <w:rsid w:val="00762744"/>
    <w:rsid w:val="00767AA4"/>
    <w:rsid w:val="0077285A"/>
    <w:rsid w:val="00776764"/>
    <w:rsid w:val="00777DF7"/>
    <w:rsid w:val="00792A46"/>
    <w:rsid w:val="00793139"/>
    <w:rsid w:val="007A360D"/>
    <w:rsid w:val="007B091D"/>
    <w:rsid w:val="007B12EB"/>
    <w:rsid w:val="007E1B1C"/>
    <w:rsid w:val="007E25CA"/>
    <w:rsid w:val="007E39F7"/>
    <w:rsid w:val="007E518B"/>
    <w:rsid w:val="007F358A"/>
    <w:rsid w:val="007F573C"/>
    <w:rsid w:val="007F6F3B"/>
    <w:rsid w:val="00817CF6"/>
    <w:rsid w:val="00821D13"/>
    <w:rsid w:val="0082407B"/>
    <w:rsid w:val="00833C37"/>
    <w:rsid w:val="0083698A"/>
    <w:rsid w:val="00844C36"/>
    <w:rsid w:val="00847624"/>
    <w:rsid w:val="00853385"/>
    <w:rsid w:val="00855F6E"/>
    <w:rsid w:val="00864C9B"/>
    <w:rsid w:val="00872B4B"/>
    <w:rsid w:val="008809F5"/>
    <w:rsid w:val="00896AD5"/>
    <w:rsid w:val="008A05B8"/>
    <w:rsid w:val="008A125F"/>
    <w:rsid w:val="008B6991"/>
    <w:rsid w:val="008C7B45"/>
    <w:rsid w:val="008D57C7"/>
    <w:rsid w:val="008D76CB"/>
    <w:rsid w:val="008E78EF"/>
    <w:rsid w:val="008F0A61"/>
    <w:rsid w:val="008F2A12"/>
    <w:rsid w:val="009021DC"/>
    <w:rsid w:val="00911A6E"/>
    <w:rsid w:val="0091390C"/>
    <w:rsid w:val="009142A2"/>
    <w:rsid w:val="00921322"/>
    <w:rsid w:val="009215E0"/>
    <w:rsid w:val="009218D7"/>
    <w:rsid w:val="00923F15"/>
    <w:rsid w:val="00931FB7"/>
    <w:rsid w:val="00931FE6"/>
    <w:rsid w:val="009325AD"/>
    <w:rsid w:val="009360BD"/>
    <w:rsid w:val="0094289E"/>
    <w:rsid w:val="009479F0"/>
    <w:rsid w:val="0095124F"/>
    <w:rsid w:val="009631C8"/>
    <w:rsid w:val="00966BDF"/>
    <w:rsid w:val="00981A82"/>
    <w:rsid w:val="00987EA8"/>
    <w:rsid w:val="00993F49"/>
    <w:rsid w:val="009A510E"/>
    <w:rsid w:val="009A6DB0"/>
    <w:rsid w:val="009A7962"/>
    <w:rsid w:val="009B02A9"/>
    <w:rsid w:val="009B2EAF"/>
    <w:rsid w:val="009B6DA6"/>
    <w:rsid w:val="009C1307"/>
    <w:rsid w:val="009C2C4C"/>
    <w:rsid w:val="009C72E0"/>
    <w:rsid w:val="009D2BF9"/>
    <w:rsid w:val="009D446B"/>
    <w:rsid w:val="009E20C0"/>
    <w:rsid w:val="009E2B7C"/>
    <w:rsid w:val="009E4658"/>
    <w:rsid w:val="009E5E8E"/>
    <w:rsid w:val="009F0D87"/>
    <w:rsid w:val="009F4AE8"/>
    <w:rsid w:val="00A36549"/>
    <w:rsid w:val="00A375C7"/>
    <w:rsid w:val="00A37B0D"/>
    <w:rsid w:val="00A42819"/>
    <w:rsid w:val="00A60C0E"/>
    <w:rsid w:val="00A6529F"/>
    <w:rsid w:val="00A66C3C"/>
    <w:rsid w:val="00A67D6C"/>
    <w:rsid w:val="00A714AC"/>
    <w:rsid w:val="00A767D7"/>
    <w:rsid w:val="00A85C38"/>
    <w:rsid w:val="00A8709D"/>
    <w:rsid w:val="00AA5D65"/>
    <w:rsid w:val="00AC513F"/>
    <w:rsid w:val="00AC57FC"/>
    <w:rsid w:val="00AD31DA"/>
    <w:rsid w:val="00AD439C"/>
    <w:rsid w:val="00AD6B82"/>
    <w:rsid w:val="00AE10F0"/>
    <w:rsid w:val="00AE3BD7"/>
    <w:rsid w:val="00AE3CAF"/>
    <w:rsid w:val="00AF122E"/>
    <w:rsid w:val="00AF2DAE"/>
    <w:rsid w:val="00B201AB"/>
    <w:rsid w:val="00B22246"/>
    <w:rsid w:val="00B22CE7"/>
    <w:rsid w:val="00B3627B"/>
    <w:rsid w:val="00B446D2"/>
    <w:rsid w:val="00B51E6F"/>
    <w:rsid w:val="00B60659"/>
    <w:rsid w:val="00B62EEC"/>
    <w:rsid w:val="00B64B62"/>
    <w:rsid w:val="00B67B3E"/>
    <w:rsid w:val="00B7454B"/>
    <w:rsid w:val="00B7490F"/>
    <w:rsid w:val="00B750AA"/>
    <w:rsid w:val="00B868CA"/>
    <w:rsid w:val="00B87935"/>
    <w:rsid w:val="00B94399"/>
    <w:rsid w:val="00BA05DE"/>
    <w:rsid w:val="00BA3BF8"/>
    <w:rsid w:val="00BB610A"/>
    <w:rsid w:val="00BB7733"/>
    <w:rsid w:val="00BC420C"/>
    <w:rsid w:val="00BD01BC"/>
    <w:rsid w:val="00BD115F"/>
    <w:rsid w:val="00BE1C15"/>
    <w:rsid w:val="00BE2CBE"/>
    <w:rsid w:val="00BF1298"/>
    <w:rsid w:val="00BF2C02"/>
    <w:rsid w:val="00BF650B"/>
    <w:rsid w:val="00C02326"/>
    <w:rsid w:val="00C0739F"/>
    <w:rsid w:val="00C113FC"/>
    <w:rsid w:val="00C1298A"/>
    <w:rsid w:val="00C1422E"/>
    <w:rsid w:val="00C142F6"/>
    <w:rsid w:val="00C2006F"/>
    <w:rsid w:val="00C234BB"/>
    <w:rsid w:val="00C238FB"/>
    <w:rsid w:val="00C4496D"/>
    <w:rsid w:val="00C45B1C"/>
    <w:rsid w:val="00C51B6C"/>
    <w:rsid w:val="00C51BFF"/>
    <w:rsid w:val="00C51ECD"/>
    <w:rsid w:val="00C555A3"/>
    <w:rsid w:val="00C64054"/>
    <w:rsid w:val="00C6760E"/>
    <w:rsid w:val="00C733FD"/>
    <w:rsid w:val="00C82125"/>
    <w:rsid w:val="00C85DA4"/>
    <w:rsid w:val="00C87338"/>
    <w:rsid w:val="00C91A67"/>
    <w:rsid w:val="00C9740E"/>
    <w:rsid w:val="00CA04EA"/>
    <w:rsid w:val="00CA0E12"/>
    <w:rsid w:val="00CB2B7F"/>
    <w:rsid w:val="00CB4182"/>
    <w:rsid w:val="00CB5A49"/>
    <w:rsid w:val="00CB6042"/>
    <w:rsid w:val="00CC2986"/>
    <w:rsid w:val="00CC66FE"/>
    <w:rsid w:val="00CC6A72"/>
    <w:rsid w:val="00CF4A13"/>
    <w:rsid w:val="00D115D0"/>
    <w:rsid w:val="00D14A54"/>
    <w:rsid w:val="00D24FB3"/>
    <w:rsid w:val="00D256F7"/>
    <w:rsid w:val="00D409C6"/>
    <w:rsid w:val="00D51646"/>
    <w:rsid w:val="00D5379A"/>
    <w:rsid w:val="00D56ED5"/>
    <w:rsid w:val="00D80D92"/>
    <w:rsid w:val="00D8779A"/>
    <w:rsid w:val="00DA5F78"/>
    <w:rsid w:val="00DA600B"/>
    <w:rsid w:val="00DA686E"/>
    <w:rsid w:val="00DB25AF"/>
    <w:rsid w:val="00DD4903"/>
    <w:rsid w:val="00DE0174"/>
    <w:rsid w:val="00DE0995"/>
    <w:rsid w:val="00DE3AF7"/>
    <w:rsid w:val="00DF48F9"/>
    <w:rsid w:val="00DF5FCF"/>
    <w:rsid w:val="00E02889"/>
    <w:rsid w:val="00E15D8A"/>
    <w:rsid w:val="00E16462"/>
    <w:rsid w:val="00E2416C"/>
    <w:rsid w:val="00E305F3"/>
    <w:rsid w:val="00E36285"/>
    <w:rsid w:val="00E467F1"/>
    <w:rsid w:val="00E61303"/>
    <w:rsid w:val="00E7387F"/>
    <w:rsid w:val="00E75EB9"/>
    <w:rsid w:val="00E81BA5"/>
    <w:rsid w:val="00E869AE"/>
    <w:rsid w:val="00E87AD0"/>
    <w:rsid w:val="00E94157"/>
    <w:rsid w:val="00E97897"/>
    <w:rsid w:val="00EA5ED5"/>
    <w:rsid w:val="00EA7D91"/>
    <w:rsid w:val="00EB032C"/>
    <w:rsid w:val="00EB0927"/>
    <w:rsid w:val="00EB298B"/>
    <w:rsid w:val="00EB321A"/>
    <w:rsid w:val="00EB4381"/>
    <w:rsid w:val="00EB6A0B"/>
    <w:rsid w:val="00EC14E2"/>
    <w:rsid w:val="00EC722D"/>
    <w:rsid w:val="00EC79EE"/>
    <w:rsid w:val="00ED111E"/>
    <w:rsid w:val="00ED2BB4"/>
    <w:rsid w:val="00EF738E"/>
    <w:rsid w:val="00F11988"/>
    <w:rsid w:val="00F2641B"/>
    <w:rsid w:val="00F26BB2"/>
    <w:rsid w:val="00F32C48"/>
    <w:rsid w:val="00F54AD8"/>
    <w:rsid w:val="00F66634"/>
    <w:rsid w:val="00F83187"/>
    <w:rsid w:val="00FA3255"/>
    <w:rsid w:val="00FA410B"/>
    <w:rsid w:val="00FA5BA2"/>
    <w:rsid w:val="00FA7ECF"/>
    <w:rsid w:val="00FB1E64"/>
    <w:rsid w:val="00FB5C19"/>
    <w:rsid w:val="00FB6783"/>
    <w:rsid w:val="00FC379E"/>
    <w:rsid w:val="00FC4D9D"/>
    <w:rsid w:val="00FD1507"/>
    <w:rsid w:val="00FD1F04"/>
    <w:rsid w:val="00FF654E"/>
    <w:rsid w:val="00FF76BD"/>
    <w:rsid w:val="0194449E"/>
    <w:rsid w:val="01DD2C72"/>
    <w:rsid w:val="02253189"/>
    <w:rsid w:val="02291B0C"/>
    <w:rsid w:val="023B5846"/>
    <w:rsid w:val="033E16C0"/>
    <w:rsid w:val="03635531"/>
    <w:rsid w:val="041C05BB"/>
    <w:rsid w:val="04554790"/>
    <w:rsid w:val="04856475"/>
    <w:rsid w:val="04BE0603"/>
    <w:rsid w:val="07FF49AA"/>
    <w:rsid w:val="083258FA"/>
    <w:rsid w:val="093D6C97"/>
    <w:rsid w:val="0A404DE6"/>
    <w:rsid w:val="0CB23EC2"/>
    <w:rsid w:val="0D8D05D5"/>
    <w:rsid w:val="0E704CDD"/>
    <w:rsid w:val="0EDE3359"/>
    <w:rsid w:val="111C745A"/>
    <w:rsid w:val="11721FDD"/>
    <w:rsid w:val="1190647B"/>
    <w:rsid w:val="12F31EF2"/>
    <w:rsid w:val="133A347D"/>
    <w:rsid w:val="139242E9"/>
    <w:rsid w:val="13A21851"/>
    <w:rsid w:val="143C2E54"/>
    <w:rsid w:val="14DE5154"/>
    <w:rsid w:val="14F90DB5"/>
    <w:rsid w:val="161A7DAE"/>
    <w:rsid w:val="17081CFA"/>
    <w:rsid w:val="17DF0739"/>
    <w:rsid w:val="180E5252"/>
    <w:rsid w:val="19257662"/>
    <w:rsid w:val="195A0741"/>
    <w:rsid w:val="19617EF1"/>
    <w:rsid w:val="1C2E7B27"/>
    <w:rsid w:val="1C642F39"/>
    <w:rsid w:val="1D126DCC"/>
    <w:rsid w:val="1D3C5034"/>
    <w:rsid w:val="1F4633B6"/>
    <w:rsid w:val="1FDD1DEC"/>
    <w:rsid w:val="22355B1C"/>
    <w:rsid w:val="22AE5EF6"/>
    <w:rsid w:val="22DD7FD0"/>
    <w:rsid w:val="25823B8B"/>
    <w:rsid w:val="2658485C"/>
    <w:rsid w:val="273267AE"/>
    <w:rsid w:val="28312778"/>
    <w:rsid w:val="289D78E7"/>
    <w:rsid w:val="29352AE1"/>
    <w:rsid w:val="2A0C39C4"/>
    <w:rsid w:val="2A5C6402"/>
    <w:rsid w:val="2CD62A7A"/>
    <w:rsid w:val="2D885BE3"/>
    <w:rsid w:val="2F183464"/>
    <w:rsid w:val="3080083E"/>
    <w:rsid w:val="30CF63E4"/>
    <w:rsid w:val="31104361"/>
    <w:rsid w:val="319A7B95"/>
    <w:rsid w:val="325651D2"/>
    <w:rsid w:val="32883C32"/>
    <w:rsid w:val="33E82472"/>
    <w:rsid w:val="34CA09B9"/>
    <w:rsid w:val="35E957AA"/>
    <w:rsid w:val="365F59E0"/>
    <w:rsid w:val="38206741"/>
    <w:rsid w:val="38687442"/>
    <w:rsid w:val="395E1740"/>
    <w:rsid w:val="3B233FB1"/>
    <w:rsid w:val="3C1C5C1D"/>
    <w:rsid w:val="3E236A2A"/>
    <w:rsid w:val="3E3901C8"/>
    <w:rsid w:val="3F83384A"/>
    <w:rsid w:val="42292600"/>
    <w:rsid w:val="430943F2"/>
    <w:rsid w:val="444F07B9"/>
    <w:rsid w:val="44744112"/>
    <w:rsid w:val="44AF77AE"/>
    <w:rsid w:val="4554739E"/>
    <w:rsid w:val="47C15E0F"/>
    <w:rsid w:val="488976ED"/>
    <w:rsid w:val="48E61849"/>
    <w:rsid w:val="48F57FE5"/>
    <w:rsid w:val="4925491A"/>
    <w:rsid w:val="4A7E5397"/>
    <w:rsid w:val="4D496342"/>
    <w:rsid w:val="4EFF0C80"/>
    <w:rsid w:val="51120FA7"/>
    <w:rsid w:val="51935DFF"/>
    <w:rsid w:val="51DC4E1F"/>
    <w:rsid w:val="51E729F4"/>
    <w:rsid w:val="52290DE8"/>
    <w:rsid w:val="54474C11"/>
    <w:rsid w:val="5510702B"/>
    <w:rsid w:val="56F207E7"/>
    <w:rsid w:val="56FD7D23"/>
    <w:rsid w:val="57F90557"/>
    <w:rsid w:val="59D82B5A"/>
    <w:rsid w:val="5A4C6962"/>
    <w:rsid w:val="5A6D5DB8"/>
    <w:rsid w:val="5B0028D0"/>
    <w:rsid w:val="5BA56767"/>
    <w:rsid w:val="5C317C44"/>
    <w:rsid w:val="5C4F69D3"/>
    <w:rsid w:val="5D4C51B4"/>
    <w:rsid w:val="5E5643D0"/>
    <w:rsid w:val="60655C70"/>
    <w:rsid w:val="61026C5E"/>
    <w:rsid w:val="614E25DE"/>
    <w:rsid w:val="61981217"/>
    <w:rsid w:val="6354294F"/>
    <w:rsid w:val="63753E82"/>
    <w:rsid w:val="63D70224"/>
    <w:rsid w:val="64061022"/>
    <w:rsid w:val="64F32B07"/>
    <w:rsid w:val="673B45A6"/>
    <w:rsid w:val="67E5458A"/>
    <w:rsid w:val="685271EB"/>
    <w:rsid w:val="6AB20490"/>
    <w:rsid w:val="6B223264"/>
    <w:rsid w:val="6B936C40"/>
    <w:rsid w:val="6BE33577"/>
    <w:rsid w:val="6C1902DF"/>
    <w:rsid w:val="6D491B4B"/>
    <w:rsid w:val="6D4B3F62"/>
    <w:rsid w:val="6FE21E08"/>
    <w:rsid w:val="711A6DEF"/>
    <w:rsid w:val="71E2193F"/>
    <w:rsid w:val="727260AA"/>
    <w:rsid w:val="72761988"/>
    <w:rsid w:val="73315FFB"/>
    <w:rsid w:val="73C0648F"/>
    <w:rsid w:val="74DC0DB8"/>
    <w:rsid w:val="76D52313"/>
    <w:rsid w:val="76E26185"/>
    <w:rsid w:val="7716637C"/>
    <w:rsid w:val="77572FC9"/>
    <w:rsid w:val="79A25F21"/>
    <w:rsid w:val="79EA4484"/>
    <w:rsid w:val="7ADC497B"/>
    <w:rsid w:val="7B56228A"/>
    <w:rsid w:val="7CE74AAA"/>
    <w:rsid w:val="7DEB99F9"/>
    <w:rsid w:val="7EED217B"/>
    <w:rsid w:val="7F0C2938"/>
    <w:rsid w:val="7F954407"/>
    <w:rsid w:val="7FAB23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autoRedefine/>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3">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1"/>
    <w:autoRedefine/>
    <w:qFormat/>
    <w:uiPriority w:val="0"/>
    <w:pPr>
      <w:ind w:firstLine="540"/>
    </w:pPr>
    <w:rPr>
      <w:sz w:val="28"/>
      <w:szCs w:val="20"/>
    </w:rPr>
  </w:style>
  <w:style w:type="paragraph" w:styleId="4">
    <w:name w:val="annotation text"/>
    <w:basedOn w:val="1"/>
    <w:autoRedefine/>
    <w:semiHidden/>
    <w:unhideWhenUsed/>
    <w:qFormat/>
    <w:uiPriority w:val="99"/>
    <w:pPr>
      <w:jc w:val="left"/>
    </w:pPr>
  </w:style>
  <w:style w:type="paragraph" w:styleId="5">
    <w:name w:val="Body Text"/>
    <w:basedOn w:val="1"/>
    <w:autoRedefine/>
    <w:semiHidden/>
    <w:unhideWhenUsed/>
    <w:qFormat/>
    <w:uiPriority w:val="99"/>
    <w:pPr>
      <w:spacing w:after="120"/>
    </w:pPr>
  </w:style>
  <w:style w:type="paragraph" w:styleId="6">
    <w:name w:val="Body Text Indent 2"/>
    <w:basedOn w:val="1"/>
    <w:link w:val="19"/>
    <w:autoRedefine/>
    <w:qFormat/>
    <w:uiPriority w:val="99"/>
    <w:pPr>
      <w:spacing w:after="120" w:line="480" w:lineRule="auto"/>
      <w:ind w:left="420" w:leftChars="200"/>
    </w:pPr>
    <w:rPr>
      <w:rFonts w:ascii="Calibri" w:hAnsi="Calibri"/>
      <w:kern w:val="0"/>
      <w:sz w:val="20"/>
    </w:rPr>
  </w:style>
  <w:style w:type="paragraph" w:styleId="7">
    <w:name w:val="Balloon Text"/>
    <w:basedOn w:val="1"/>
    <w:link w:val="20"/>
    <w:autoRedefine/>
    <w:semiHidden/>
    <w:qFormat/>
    <w:uiPriority w:val="99"/>
    <w:rPr>
      <w:sz w:val="18"/>
      <w:szCs w:val="18"/>
    </w:rPr>
  </w:style>
  <w:style w:type="paragraph" w:styleId="8">
    <w:name w:val="footer"/>
    <w:basedOn w:val="1"/>
    <w:link w:val="21"/>
    <w:autoRedefine/>
    <w:semiHidden/>
    <w:qFormat/>
    <w:uiPriority w:val="99"/>
    <w:pPr>
      <w:tabs>
        <w:tab w:val="center" w:pos="4153"/>
        <w:tab w:val="right" w:pos="8306"/>
      </w:tabs>
      <w:snapToGrid w:val="0"/>
      <w:jc w:val="left"/>
    </w:pPr>
    <w:rPr>
      <w:sz w:val="18"/>
      <w:szCs w:val="18"/>
    </w:rPr>
  </w:style>
  <w:style w:type="paragraph" w:styleId="9">
    <w:name w:val="header"/>
    <w:basedOn w:val="1"/>
    <w:link w:val="22"/>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spacing w:before="100" w:beforeAutospacing="1" w:after="100" w:afterAutospacing="1"/>
      <w:jc w:val="left"/>
    </w:pPr>
    <w:rPr>
      <w:rFonts w:ascii="Calibri" w:hAnsi="Calibri"/>
      <w:kern w:val="0"/>
      <w:sz w:val="24"/>
    </w:rPr>
  </w:style>
  <w:style w:type="table" w:styleId="12">
    <w:name w:val="Table Grid"/>
    <w:basedOn w:val="11"/>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basedOn w:val="13"/>
    <w:autoRedefine/>
    <w:qFormat/>
    <w:locked/>
    <w:uiPriority w:val="0"/>
    <w:rPr>
      <w:b/>
    </w:rPr>
  </w:style>
  <w:style w:type="character" w:styleId="15">
    <w:name w:val="FollowedHyperlink"/>
    <w:basedOn w:val="13"/>
    <w:autoRedefine/>
    <w:semiHidden/>
    <w:unhideWhenUsed/>
    <w:qFormat/>
    <w:uiPriority w:val="99"/>
    <w:rPr>
      <w:color w:val="800080"/>
      <w:u w:val="single"/>
    </w:rPr>
  </w:style>
  <w:style w:type="character" w:styleId="16">
    <w:name w:val="Hyperlink"/>
    <w:basedOn w:val="13"/>
    <w:autoRedefine/>
    <w:semiHidden/>
    <w:unhideWhenUsed/>
    <w:qFormat/>
    <w:uiPriority w:val="99"/>
    <w:rPr>
      <w:color w:val="0000FF"/>
      <w:u w:val="single"/>
    </w:rPr>
  </w:style>
  <w:style w:type="character" w:styleId="17">
    <w:name w:val="annotation reference"/>
    <w:basedOn w:val="13"/>
    <w:autoRedefine/>
    <w:semiHidden/>
    <w:unhideWhenUsed/>
    <w:qFormat/>
    <w:uiPriority w:val="99"/>
    <w:rPr>
      <w:sz w:val="21"/>
      <w:szCs w:val="21"/>
    </w:rPr>
  </w:style>
  <w:style w:type="character" w:customStyle="1" w:styleId="18">
    <w:name w:val="标题 1 字符"/>
    <w:basedOn w:val="13"/>
    <w:link w:val="3"/>
    <w:qFormat/>
    <w:locked/>
    <w:uiPriority w:val="99"/>
    <w:rPr>
      <w:rFonts w:ascii="宋体" w:hAnsi="宋体" w:eastAsia="宋体" w:cs="宋体"/>
      <w:b/>
      <w:bCs/>
      <w:kern w:val="36"/>
      <w:sz w:val="48"/>
      <w:szCs w:val="48"/>
    </w:rPr>
  </w:style>
  <w:style w:type="character" w:customStyle="1" w:styleId="19">
    <w:name w:val="正文文本缩进 2 字符"/>
    <w:basedOn w:val="13"/>
    <w:link w:val="6"/>
    <w:autoRedefine/>
    <w:qFormat/>
    <w:locked/>
    <w:uiPriority w:val="99"/>
    <w:rPr>
      <w:rFonts w:ascii="Calibri" w:hAnsi="Calibri" w:eastAsia="宋体"/>
      <w:sz w:val="24"/>
    </w:rPr>
  </w:style>
  <w:style w:type="character" w:customStyle="1" w:styleId="20">
    <w:name w:val="批注框文本 字符"/>
    <w:basedOn w:val="13"/>
    <w:link w:val="7"/>
    <w:autoRedefine/>
    <w:semiHidden/>
    <w:qFormat/>
    <w:locked/>
    <w:uiPriority w:val="99"/>
    <w:rPr>
      <w:rFonts w:ascii="Times New Roman" w:hAnsi="Times New Roman" w:eastAsia="宋体" w:cs="Times New Roman"/>
      <w:sz w:val="18"/>
      <w:szCs w:val="18"/>
    </w:rPr>
  </w:style>
  <w:style w:type="character" w:customStyle="1" w:styleId="21">
    <w:name w:val="页脚 字符"/>
    <w:basedOn w:val="13"/>
    <w:link w:val="8"/>
    <w:autoRedefine/>
    <w:semiHidden/>
    <w:qFormat/>
    <w:locked/>
    <w:uiPriority w:val="99"/>
    <w:rPr>
      <w:rFonts w:cs="Times New Roman"/>
      <w:sz w:val="18"/>
      <w:szCs w:val="18"/>
    </w:rPr>
  </w:style>
  <w:style w:type="character" w:customStyle="1" w:styleId="22">
    <w:name w:val="页眉 字符"/>
    <w:basedOn w:val="13"/>
    <w:link w:val="9"/>
    <w:autoRedefine/>
    <w:semiHidden/>
    <w:qFormat/>
    <w:locked/>
    <w:uiPriority w:val="99"/>
    <w:rPr>
      <w:rFonts w:cs="Times New Roman"/>
      <w:sz w:val="18"/>
      <w:szCs w:val="18"/>
    </w:rPr>
  </w:style>
  <w:style w:type="paragraph" w:styleId="23">
    <w:name w:val="List Paragraph"/>
    <w:basedOn w:val="1"/>
    <w:autoRedefine/>
    <w:qFormat/>
    <w:uiPriority w:val="34"/>
    <w:pPr>
      <w:ind w:firstLine="420" w:firstLineChars="200"/>
    </w:pPr>
    <w:rPr>
      <w:rFonts w:ascii="Calibri" w:hAnsi="Calibri"/>
      <w:szCs w:val="22"/>
    </w:rPr>
  </w:style>
  <w:style w:type="character" w:customStyle="1" w:styleId="24">
    <w:name w:val="正文文本缩进 2 Char"/>
    <w:basedOn w:val="13"/>
    <w:autoRedefine/>
    <w:semiHidden/>
    <w:qFormat/>
    <w:uiPriority w:val="99"/>
    <w:rPr>
      <w:rFonts w:ascii="Times New Roman" w:hAnsi="Times New Roman" w:eastAsia="宋体" w:cs="Times New Roman"/>
      <w:sz w:val="24"/>
      <w:szCs w:val="24"/>
    </w:rPr>
  </w:style>
  <w:style w:type="character" w:customStyle="1" w:styleId="25">
    <w:name w:val="font31"/>
    <w:basedOn w:val="13"/>
    <w:autoRedefine/>
    <w:qFormat/>
    <w:uiPriority w:val="0"/>
    <w:rPr>
      <w:rFonts w:hint="eastAsia" w:ascii="宋体" w:hAnsi="宋体" w:eastAsia="宋体" w:cs="宋体"/>
      <w:color w:val="000000"/>
      <w:sz w:val="22"/>
      <w:szCs w:val="22"/>
      <w:u w:val="none"/>
    </w:rPr>
  </w:style>
  <w:style w:type="character" w:customStyle="1" w:styleId="26">
    <w:name w:val="font11"/>
    <w:basedOn w:val="13"/>
    <w:autoRedefine/>
    <w:qFormat/>
    <w:uiPriority w:val="0"/>
    <w:rPr>
      <w:rFonts w:hint="eastAsia" w:ascii="宋体" w:hAnsi="宋体" w:eastAsia="宋体" w:cs="宋体"/>
      <w:color w:val="000000"/>
      <w:sz w:val="22"/>
      <w:szCs w:val="22"/>
      <w:u w:val="none"/>
    </w:rPr>
  </w:style>
  <w:style w:type="paragraph" w:customStyle="1" w:styleId="27">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28">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9">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2">
    <w:name w:val="xl86"/>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33">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4">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5">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9">
    <w:name w:val="xl93"/>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40">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1">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2">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4">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5">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
    <w:name w:val="xl1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
    <w:name w:val="xl1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8">
    <w:name w:val="xl102"/>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9">
    <w:name w:val="xl10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0">
    <w:name w:val="xl104"/>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1">
    <w:name w:val="xl1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
    <w:name w:val="xl10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4">
    <w:name w:val="Table Paragraph"/>
    <w:basedOn w:val="1"/>
    <w:autoRedefine/>
    <w:qFormat/>
    <w:uiPriority w:val="1"/>
    <w:rPr>
      <w:rFonts w:ascii="宋体" w:hAnsi="宋体" w:cs="宋体"/>
      <w:lang w:val="zh-CN" w:bidi="zh-CN"/>
    </w:rPr>
  </w:style>
  <w:style w:type="character" w:customStyle="1" w:styleId="55">
    <w:name w:val="font41"/>
    <w:basedOn w:val="13"/>
    <w:autoRedefine/>
    <w:qFormat/>
    <w:uiPriority w:val="0"/>
    <w:rPr>
      <w:rFonts w:hint="eastAsia" w:ascii="黑体" w:hAnsi="宋体" w:eastAsia="黑体" w:cs="黑体"/>
      <w:color w:val="000000"/>
      <w:sz w:val="28"/>
      <w:szCs w:val="28"/>
      <w:u w:val="none"/>
    </w:rPr>
  </w:style>
  <w:style w:type="character" w:customStyle="1" w:styleId="56">
    <w:name w:val="font21"/>
    <w:basedOn w:val="13"/>
    <w:autoRedefine/>
    <w:qFormat/>
    <w:uiPriority w:val="0"/>
    <w:rPr>
      <w:rFonts w:hint="eastAsia" w:ascii="黑体" w:hAnsi="宋体" w:eastAsia="黑体" w:cs="黑体"/>
      <w:b/>
      <w:bCs/>
      <w:color w:val="000000"/>
      <w:sz w:val="28"/>
      <w:szCs w:val="28"/>
      <w:u w:val="none"/>
    </w:rPr>
  </w:style>
  <w:style w:type="character" w:customStyle="1" w:styleId="57">
    <w:name w:val="font61"/>
    <w:basedOn w:val="13"/>
    <w:autoRedefine/>
    <w:qFormat/>
    <w:uiPriority w:val="0"/>
    <w:rPr>
      <w:rFonts w:hint="default" w:ascii="Times New Roman" w:hAnsi="Times New Roman" w:cs="Times New Roman"/>
      <w:color w:val="000000"/>
      <w:sz w:val="20"/>
      <w:szCs w:val="20"/>
      <w:u w:val="none"/>
    </w:rPr>
  </w:style>
  <w:style w:type="character" w:customStyle="1" w:styleId="58">
    <w:name w:val="font51"/>
    <w:basedOn w:val="13"/>
    <w:autoRedefine/>
    <w:qFormat/>
    <w:uiPriority w:val="0"/>
    <w:rPr>
      <w:rFonts w:hint="default" w:ascii="Times New Roman" w:hAnsi="Times New Roman" w:cs="Times New Roman"/>
      <w:color w:val="000000"/>
      <w:sz w:val="20"/>
      <w:szCs w:val="20"/>
      <w:u w:val="none"/>
    </w:rPr>
  </w:style>
  <w:style w:type="character" w:customStyle="1" w:styleId="59">
    <w:name w:val="font71"/>
    <w:basedOn w:val="13"/>
    <w:autoRedefine/>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4</Pages>
  <Words>361</Words>
  <Characters>2063</Characters>
  <Lines>17</Lines>
  <Paragraphs>4</Paragraphs>
  <TotalTime>8</TotalTime>
  <ScaleCrop>false</ScaleCrop>
  <LinksUpToDate>false</LinksUpToDate>
  <CharactersWithSpaces>2420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2024-04-15T10:02:00Z</dcterms:created>
  <dc:creator>admin</dc:creator>
  <cp:lastModifiedBy>叫我小强好了</cp:lastModifiedBy>
  <cp:lastPrinted>2023-05-29T10:19:00Z</cp:lastPrinted>
  <dcterms:modified xsi:type="dcterms:W3CDTF">2024-04-24T07:10:35Z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F06CE336E78D4865A818CC6B09C3C8A7</vt:lpwstr>
  </property>
</Properties>
</file>