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湖州师范学院工学院智能制造实验教学信息化采购项目公开招标文件</w:t>
      </w:r>
    </w:p>
    <w:p>
      <w:pPr>
        <w:widowControl/>
        <w:shd w:val="clear" w:color="auto" w:fill="FFFFFF"/>
        <w:ind w:firstLine="480" w:firstLineChars="200"/>
        <w:jc w:val="left"/>
        <w:rPr>
          <w:rFonts w:ascii="仿宋" w:hAnsi="仿宋" w:eastAsia="仿宋" w:cs="宋体"/>
          <w:color w:val="auto"/>
          <w:kern w:val="0"/>
          <w:sz w:val="24"/>
        </w:rPr>
      </w:pPr>
    </w:p>
    <w:p>
      <w:pPr>
        <w:widowControl/>
        <w:shd w:val="clear" w:color="auto" w:fill="FFFFFF"/>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一、</w:t>
      </w:r>
      <w:r>
        <w:rPr>
          <w:rFonts w:hint="eastAsia" w:ascii="仿宋" w:hAnsi="仿宋" w:eastAsia="仿宋"/>
          <w:b/>
          <w:color w:val="auto"/>
          <w:sz w:val="24"/>
        </w:rPr>
        <w:t>采购项目名称等：</w:t>
      </w:r>
      <w:bookmarkStart w:id="24" w:name="_GoBack"/>
      <w:bookmarkEnd w:id="24"/>
    </w:p>
    <w:p>
      <w:pPr>
        <w:widowControl/>
        <w:shd w:val="clear" w:color="auto" w:fill="FFFFFF"/>
        <w:spacing w:before="204" w:after="204"/>
        <w:ind w:firstLine="480" w:firstLineChars="200"/>
        <w:contextualSpacing/>
        <w:jc w:val="left"/>
        <w:rPr>
          <w:rFonts w:ascii="仿宋" w:hAnsi="仿宋" w:eastAsia="仿宋" w:cs="宋体"/>
          <w:color w:val="auto"/>
          <w:kern w:val="0"/>
          <w:sz w:val="24"/>
        </w:rPr>
      </w:pPr>
      <w:r>
        <w:rPr>
          <w:rFonts w:hint="eastAsia" w:ascii="仿宋" w:hAnsi="仿宋" w:eastAsia="仿宋" w:cs="宋体"/>
          <w:color w:val="auto"/>
          <w:kern w:val="0"/>
          <w:sz w:val="24"/>
        </w:rPr>
        <w:t>1.采购项目名称：</w:t>
      </w:r>
      <w:r>
        <w:rPr>
          <w:rFonts w:hint="eastAsia" w:ascii="仿宋" w:hAnsi="仿宋" w:eastAsia="仿宋" w:cs="仿宋"/>
          <w:color w:val="auto"/>
          <w:kern w:val="21"/>
          <w:sz w:val="24"/>
        </w:rPr>
        <w:t>湖州师范学院工学院智能制造实验教学信息化采购项目</w:t>
      </w:r>
    </w:p>
    <w:p>
      <w:pPr>
        <w:widowControl/>
        <w:shd w:val="clear" w:color="auto" w:fill="FFFFFF"/>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2.采购项目编号：XZ2023-097</w:t>
      </w:r>
    </w:p>
    <w:p>
      <w:pPr>
        <w:widowControl/>
        <w:shd w:val="clear" w:color="auto" w:fill="FFFFFF"/>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3.采购组织类型：分散采购自行组织</w:t>
      </w:r>
    </w:p>
    <w:p>
      <w:pPr>
        <w:widowControl/>
        <w:shd w:val="clear" w:color="auto" w:fill="FFFFFF"/>
        <w:spacing w:before="204" w:after="204"/>
        <w:ind w:firstLine="480" w:firstLineChars="200"/>
        <w:contextualSpacing/>
        <w:jc w:val="left"/>
        <w:rPr>
          <w:rFonts w:ascii="仿宋" w:hAnsi="仿宋" w:eastAsia="仿宋" w:cs="宋体"/>
          <w:color w:val="auto"/>
          <w:kern w:val="0"/>
          <w:sz w:val="24"/>
        </w:rPr>
      </w:pPr>
      <w:r>
        <w:rPr>
          <w:rFonts w:hint="eastAsia" w:ascii="仿宋" w:hAnsi="仿宋" w:eastAsia="仿宋" w:cs="宋体"/>
          <w:color w:val="auto"/>
          <w:kern w:val="0"/>
          <w:sz w:val="24"/>
        </w:rPr>
        <w:t>4.采购方式：校内公开招标</w:t>
      </w:r>
    </w:p>
    <w:p>
      <w:pPr>
        <w:widowControl/>
        <w:shd w:val="clear" w:color="auto" w:fill="FFFFFF"/>
        <w:spacing w:before="204" w:after="204"/>
        <w:ind w:firstLine="480" w:firstLineChars="200"/>
        <w:contextualSpacing/>
        <w:jc w:val="left"/>
        <w:rPr>
          <w:rFonts w:ascii="仿宋" w:hAnsi="仿宋" w:eastAsia="仿宋" w:cs="宋体"/>
          <w:color w:val="auto"/>
          <w:kern w:val="0"/>
          <w:sz w:val="24"/>
        </w:rPr>
      </w:pPr>
      <w:r>
        <w:rPr>
          <w:rFonts w:hint="eastAsia" w:ascii="仿宋" w:hAnsi="仿宋" w:eastAsia="仿宋" w:cs="宋体"/>
          <w:color w:val="auto"/>
          <w:kern w:val="0"/>
          <w:sz w:val="24"/>
        </w:rPr>
        <w:t>5.采购预算：人民币壹拾万元整（￥：100000元）</w:t>
      </w:r>
    </w:p>
    <w:p>
      <w:pPr>
        <w:widowControl/>
        <w:shd w:val="clear" w:color="auto" w:fill="FFFFFF"/>
        <w:spacing w:before="204" w:after="204"/>
        <w:ind w:firstLine="480" w:firstLineChars="200"/>
        <w:contextualSpacing/>
        <w:jc w:val="left"/>
        <w:rPr>
          <w:rFonts w:ascii="仿宋" w:hAnsi="仿宋" w:eastAsia="仿宋" w:cs="宋体"/>
          <w:color w:val="auto"/>
          <w:kern w:val="0"/>
          <w:sz w:val="24"/>
        </w:rPr>
      </w:pPr>
      <w:r>
        <w:rPr>
          <w:rFonts w:hint="eastAsia" w:ascii="仿宋" w:hAnsi="仿宋" w:eastAsia="仿宋" w:cs="宋体"/>
          <w:color w:val="auto"/>
          <w:kern w:val="0"/>
          <w:sz w:val="24"/>
        </w:rPr>
        <w:t>6.采购项目概况（名称、技术参数、数量等）：</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4023"/>
        <w:gridCol w:w="1545"/>
        <w:gridCol w:w="825"/>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764" w:type="dxa"/>
            <w:tcBorders>
              <w:bottom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4023" w:type="dxa"/>
            <w:tcBorders>
              <w:bottom w:val="single" w:color="auto" w:sz="4" w:space="0"/>
              <w:right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1545" w:type="dxa"/>
            <w:tcBorders>
              <w:bottom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825" w:type="dxa"/>
            <w:tcBorders>
              <w:bottom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单位</w:t>
            </w:r>
          </w:p>
        </w:tc>
        <w:tc>
          <w:tcPr>
            <w:tcW w:w="810" w:type="dxa"/>
            <w:tcBorders>
              <w:bottom w:val="single" w:color="auto" w:sz="4" w:space="0"/>
              <w:right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764" w:type="dxa"/>
            <w:tcBorders>
              <w:left w:val="single" w:color="auto" w:sz="4" w:space="0"/>
            </w:tcBorders>
            <w:vAlign w:val="center"/>
          </w:tcPr>
          <w:p>
            <w:pPr>
              <w:widowControl/>
              <w:jc w:val="center"/>
              <w:rPr>
                <w:rFonts w:ascii="仿宋" w:hAnsi="仿宋" w:eastAsia="仿宋" w:cs="仿宋"/>
                <w:bCs/>
                <w:color w:val="auto"/>
                <w:sz w:val="24"/>
              </w:rPr>
            </w:pPr>
            <w:r>
              <w:rPr>
                <w:rFonts w:hint="eastAsia" w:ascii="仿宋" w:hAnsi="仿宋" w:eastAsia="仿宋" w:cs="仿宋"/>
                <w:bCs/>
                <w:color w:val="auto"/>
                <w:kern w:val="0"/>
                <w:sz w:val="24"/>
                <w:lang w:bidi="ar"/>
              </w:rPr>
              <w:t>1</w:t>
            </w:r>
          </w:p>
        </w:tc>
        <w:tc>
          <w:tcPr>
            <w:tcW w:w="4023"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智能制造实验教学信息化</w:t>
            </w:r>
            <w:r>
              <w:rPr>
                <w:rFonts w:ascii="仿宋" w:hAnsi="仿宋" w:eastAsia="仿宋"/>
                <w:color w:val="auto"/>
                <w:sz w:val="24"/>
              </w:rPr>
              <w:t>系统</w:t>
            </w:r>
          </w:p>
        </w:tc>
        <w:tc>
          <w:tcPr>
            <w:tcW w:w="1545" w:type="dxa"/>
            <w:vAlign w:val="center"/>
          </w:tcPr>
          <w:p>
            <w:pPr>
              <w:jc w:val="center"/>
              <w:rPr>
                <w:rFonts w:ascii="仿宋" w:hAnsi="仿宋" w:eastAsia="仿宋"/>
                <w:color w:val="auto"/>
                <w:sz w:val="24"/>
              </w:rPr>
            </w:pPr>
            <w:r>
              <w:rPr>
                <w:rFonts w:hint="eastAsia" w:ascii="仿宋" w:hAnsi="仿宋" w:eastAsia="仿宋" w:cs="仿宋"/>
                <w:bCs/>
                <w:color w:val="auto"/>
                <w:kern w:val="0"/>
                <w:sz w:val="24"/>
                <w:lang w:bidi="ar"/>
              </w:rPr>
              <w:t>详见附件2采购方案</w:t>
            </w:r>
          </w:p>
        </w:tc>
        <w:tc>
          <w:tcPr>
            <w:tcW w:w="825" w:type="dxa"/>
            <w:vAlign w:val="center"/>
          </w:tcPr>
          <w:p>
            <w:pPr>
              <w:jc w:val="center"/>
              <w:rPr>
                <w:rFonts w:ascii="仿宋" w:hAnsi="仿宋" w:eastAsia="仿宋"/>
                <w:color w:val="auto"/>
                <w:sz w:val="24"/>
              </w:rPr>
            </w:pPr>
            <w:r>
              <w:rPr>
                <w:rFonts w:hint="eastAsia" w:ascii="仿宋" w:hAnsi="仿宋" w:eastAsia="仿宋"/>
                <w:color w:val="auto"/>
                <w:sz w:val="24"/>
              </w:rPr>
              <w:t>套</w:t>
            </w:r>
          </w:p>
        </w:tc>
        <w:tc>
          <w:tcPr>
            <w:tcW w:w="810" w:type="dxa"/>
            <w:tcBorders>
              <w:right w:val="single" w:color="auto" w:sz="4" w:space="0"/>
            </w:tcBorders>
            <w:vAlign w:val="center"/>
          </w:tcPr>
          <w:p>
            <w:pPr>
              <w:jc w:val="center"/>
              <w:rPr>
                <w:rFonts w:ascii="仿宋" w:hAnsi="仿宋" w:eastAsia="仿宋"/>
                <w:color w:val="auto"/>
                <w:sz w:val="24"/>
              </w:rPr>
            </w:pPr>
            <w:r>
              <w:rPr>
                <w:rFonts w:ascii="仿宋" w:hAnsi="仿宋" w:eastAsia="仿宋"/>
                <w:color w:val="auto"/>
                <w:sz w:val="24"/>
              </w:rPr>
              <w:t>1</w:t>
            </w:r>
          </w:p>
        </w:tc>
      </w:tr>
    </w:tbl>
    <w:p>
      <w:pPr>
        <w:ind w:firstLine="472" w:firstLineChars="196"/>
        <w:jc w:val="left"/>
        <w:rPr>
          <w:rFonts w:ascii="仿宋" w:hAnsi="仿宋" w:eastAsia="仿宋"/>
          <w:b/>
          <w:color w:val="auto"/>
          <w:sz w:val="24"/>
        </w:rPr>
      </w:pPr>
      <w:r>
        <w:rPr>
          <w:rFonts w:hint="eastAsia" w:ascii="仿宋" w:hAnsi="仿宋" w:eastAsia="仿宋"/>
          <w:b/>
          <w:color w:val="auto"/>
          <w:sz w:val="24"/>
        </w:rPr>
        <w:t>二、投标文件要求</w:t>
      </w:r>
    </w:p>
    <w:p>
      <w:pPr>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投标人的投标文件中应包含以下内容（投标文件密封，胶装成册，一式三份，一正二副，投标人的投标文件所有资料均须真实、有效，原件、复印件均须加盖公章，</w:t>
      </w:r>
      <w:r>
        <w:rPr>
          <w:rFonts w:hint="eastAsia" w:ascii="仿宋" w:hAnsi="仿宋" w:eastAsia="仿宋"/>
          <w:b/>
          <w:bCs/>
          <w:color w:val="auto"/>
          <w:sz w:val="24"/>
        </w:rPr>
        <w:t>缺少采购文件要求的任何一项内容即作无效标处理，报价文件需单独封装，否则作无效标处理</w:t>
      </w:r>
      <w:r>
        <w:rPr>
          <w:rFonts w:hint="eastAsia" w:ascii="仿宋" w:hAnsi="仿宋" w:eastAsia="仿宋"/>
          <w:color w:val="auto"/>
          <w:sz w:val="24"/>
        </w:rPr>
        <w:t>）：</w:t>
      </w:r>
    </w:p>
    <w:p>
      <w:pPr>
        <w:pStyle w:val="4"/>
        <w:rPr>
          <w:rFonts w:eastAsia="仿宋"/>
          <w:b/>
          <w:bCs/>
          <w:color w:val="auto"/>
        </w:rPr>
      </w:pPr>
      <w:r>
        <w:rPr>
          <w:rFonts w:hint="eastAsia" w:ascii="仿宋" w:hAnsi="仿宋" w:eastAsia="仿宋"/>
          <w:b/>
          <w:bCs/>
          <w:color w:val="auto"/>
          <w:sz w:val="24"/>
        </w:rPr>
        <w:t>（一）资格文件</w:t>
      </w:r>
    </w:p>
    <w:p>
      <w:pPr>
        <w:ind w:firstLine="480" w:firstLineChars="2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、营业执照副本复印件。</w:t>
      </w:r>
    </w:p>
    <w:p>
      <w:pPr>
        <w:ind w:firstLine="480" w:firstLineChars="200"/>
        <w:jc w:val="left"/>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、税务登记证复印件。</w:t>
      </w:r>
    </w:p>
    <w:p>
      <w:pPr>
        <w:ind w:firstLine="480" w:firstLineChars="200"/>
        <w:jc w:val="left"/>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、投标代表身份证复印件；如非法人投标，另提供法人委托书、法人身份证复印件及投标代表社保证明材料。</w:t>
      </w:r>
    </w:p>
    <w:p>
      <w:pPr>
        <w:ind w:firstLine="480" w:firstLineChars="200"/>
        <w:jc w:val="left"/>
        <w:rPr>
          <w:rFonts w:ascii="仿宋" w:hAnsi="仿宋" w:eastAsia="仿宋"/>
          <w:color w:val="auto"/>
          <w:sz w:val="24"/>
        </w:rPr>
      </w:pPr>
      <w:r>
        <w:rPr>
          <w:rFonts w:hint="eastAsia" w:ascii="仿宋" w:hAnsi="仿宋" w:eastAsia="仿宋"/>
          <w:color w:val="auto"/>
          <w:sz w:val="24"/>
        </w:rPr>
        <w:t>4、自采购公告发布之日起至开标截止时间止的“信用中国”网站（</w:t>
      </w:r>
      <w:r>
        <w:rPr>
          <w:rFonts w:ascii="仿宋" w:hAnsi="仿宋" w:eastAsia="仿宋"/>
          <w:color w:val="auto"/>
          <w:sz w:val="24"/>
        </w:rPr>
        <w:t>www.creditchina.gov.cn</w:t>
      </w:r>
      <w:r>
        <w:rPr>
          <w:rFonts w:hint="eastAsia" w:ascii="仿宋" w:hAnsi="仿宋" w:eastAsia="仿宋"/>
          <w:color w:val="auto"/>
          <w:sz w:val="24"/>
        </w:rPr>
        <w:t>）、中国政府采购网（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hint="eastAsia" w:ascii="仿宋" w:hAnsi="仿宋" w:eastAsia="仿宋" w:cs="仿宋"/>
          <w:color w:val="auto"/>
          <w:kern w:val="0"/>
          <w:sz w:val="24"/>
          <w:shd w:val="clear" w:color="auto" w:fill="FFFFFF"/>
          <w:lang w:bidi="ar"/>
        </w:rPr>
        <w:t>www.zfcg.czt.zj.gov.cn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pPr>
        <w:ind w:firstLine="480" w:firstLineChars="200"/>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、需要说明的其他内容。</w:t>
      </w:r>
    </w:p>
    <w:p>
      <w:pPr>
        <w:pStyle w:val="4"/>
        <w:rPr>
          <w:rFonts w:ascii="仿宋" w:hAnsi="仿宋" w:eastAsia="仿宋"/>
          <w:b/>
          <w:bCs/>
          <w:color w:val="auto"/>
          <w:sz w:val="24"/>
        </w:rPr>
      </w:pPr>
      <w:r>
        <w:rPr>
          <w:rFonts w:hint="eastAsia" w:ascii="仿宋" w:hAnsi="仿宋" w:eastAsia="仿宋"/>
          <w:b/>
          <w:bCs/>
          <w:color w:val="auto"/>
          <w:sz w:val="24"/>
        </w:rPr>
        <w:t>（二）技术、商务、资信文件</w:t>
      </w:r>
    </w:p>
    <w:p>
      <w:pPr>
        <w:spacing w:line="320" w:lineRule="exact"/>
        <w:ind w:firstLine="480" w:firstLineChars="200"/>
        <w:jc w:val="left"/>
        <w:rPr>
          <w:rFonts w:ascii="仿宋" w:hAnsi="仿宋" w:eastAsia="仿宋"/>
          <w:color w:val="auto"/>
          <w:sz w:val="24"/>
        </w:rPr>
      </w:pPr>
      <w:r>
        <w:rPr>
          <w:rFonts w:hint="eastAsia" w:ascii="仿宋" w:hAnsi="仿宋" w:eastAsia="仿宋"/>
          <w:color w:val="auto"/>
          <w:sz w:val="24"/>
        </w:rPr>
        <w:t>1、项目技术方案。</w:t>
      </w:r>
    </w:p>
    <w:p>
      <w:pPr>
        <w:spacing w:line="320" w:lineRule="exact"/>
        <w:ind w:firstLine="480" w:firstLineChars="200"/>
        <w:jc w:val="left"/>
        <w:rPr>
          <w:rFonts w:ascii="仿宋" w:hAnsi="仿宋" w:eastAsia="仿宋"/>
          <w:color w:val="auto"/>
          <w:sz w:val="24"/>
        </w:rPr>
      </w:pPr>
      <w:r>
        <w:rPr>
          <w:rFonts w:hint="eastAsia" w:ascii="仿宋" w:hAnsi="仿宋" w:eastAsia="仿宋"/>
          <w:color w:val="auto"/>
          <w:sz w:val="24"/>
        </w:rPr>
        <w:t>2、服务要求响应表（根据</w:t>
      </w:r>
      <w:r>
        <w:rPr>
          <w:rFonts w:hint="eastAsia" w:ascii="仿宋" w:hAnsi="仿宋" w:eastAsia="仿宋"/>
          <w:b/>
          <w:bCs/>
          <w:color w:val="auto"/>
          <w:sz w:val="24"/>
        </w:rPr>
        <w:t>附件2</w:t>
      </w:r>
      <w:r>
        <w:rPr>
          <w:rFonts w:hint="eastAsia" w:ascii="仿宋" w:hAnsi="仿宋" w:eastAsia="仿宋"/>
          <w:b/>
          <w:color w:val="auto"/>
          <w:sz w:val="24"/>
        </w:rPr>
        <w:t>采购方案</w:t>
      </w:r>
      <w:r>
        <w:rPr>
          <w:rFonts w:hint="eastAsia" w:ascii="仿宋" w:hAnsi="仿宋" w:eastAsia="仿宋"/>
          <w:color w:val="auto"/>
          <w:sz w:val="24"/>
        </w:rPr>
        <w:t>制作，内容应包含：</w:t>
      </w:r>
      <w:r>
        <w:rPr>
          <w:rFonts w:hint="eastAsia" w:ascii="仿宋" w:hAnsi="仿宋" w:eastAsia="仿宋" w:cs="仿宋_GB2312"/>
          <w:color w:val="auto"/>
          <w:sz w:val="24"/>
        </w:rPr>
        <w:t>序号、名称、需求参数、响应参数、偏离情况（正偏离、负偏离、无偏离</w:t>
      </w:r>
      <w:r>
        <w:rPr>
          <w:rFonts w:hint="eastAsia" w:ascii="仿宋" w:hAnsi="仿宋" w:eastAsia="仿宋"/>
          <w:color w:val="auto"/>
          <w:sz w:val="24"/>
        </w:rPr>
        <w:t>）。</w:t>
      </w:r>
    </w:p>
    <w:p>
      <w:pPr>
        <w:ind w:firstLine="480" w:firstLineChars="200"/>
        <w:rPr>
          <w:rFonts w:ascii="仿宋" w:hAnsi="仿宋" w:eastAsia="仿宋"/>
          <w:color w:val="auto"/>
          <w:sz w:val="24"/>
        </w:rPr>
      </w:pPr>
      <w:r>
        <w:rPr>
          <w:rFonts w:hint="eastAsia" w:ascii="仿宋" w:hAnsi="仿宋" w:eastAsia="仿宋" w:cs="宋体"/>
          <w:color w:val="auto"/>
          <w:kern w:val="0"/>
          <w:sz w:val="24"/>
        </w:rPr>
        <w:t>3、</w:t>
      </w:r>
      <w:r>
        <w:rPr>
          <w:rFonts w:hint="eastAsia" w:ascii="仿宋" w:hAnsi="仿宋" w:eastAsia="仿宋"/>
          <w:color w:val="auto"/>
          <w:sz w:val="24"/>
        </w:rPr>
        <w:t>项目进度计划与措施。</w:t>
      </w:r>
    </w:p>
    <w:p>
      <w:pPr>
        <w:pStyle w:val="4"/>
        <w:ind w:firstLine="480" w:firstLineChars="200"/>
        <w:rPr>
          <w:rFonts w:ascii="仿宋" w:hAnsi="仿宋" w:eastAsia="仿宋"/>
          <w:bCs/>
          <w:color w:val="auto"/>
          <w:sz w:val="24"/>
        </w:rPr>
      </w:pPr>
      <w:r>
        <w:rPr>
          <w:rFonts w:hint="eastAsia" w:ascii="仿宋" w:hAnsi="仿宋" w:eastAsia="仿宋"/>
          <w:bCs/>
          <w:color w:val="auto"/>
          <w:sz w:val="24"/>
        </w:rPr>
        <w:t>4、拟投入项目实施人员组成情况。</w:t>
      </w:r>
    </w:p>
    <w:p>
      <w:pPr>
        <w:pStyle w:val="4"/>
        <w:ind w:firstLine="480" w:firstLineChars="200"/>
        <w:rPr>
          <w:color w:val="auto"/>
        </w:rPr>
      </w:pPr>
      <w:r>
        <w:rPr>
          <w:rFonts w:hint="eastAsia" w:ascii="仿宋" w:hAnsi="仿宋" w:eastAsia="仿宋"/>
          <w:bCs/>
          <w:color w:val="auto"/>
          <w:sz w:val="24"/>
        </w:rPr>
        <w:t>5、安装、调试、验收的方案和措施。</w:t>
      </w:r>
    </w:p>
    <w:p>
      <w:pPr>
        <w:spacing w:line="320" w:lineRule="exact"/>
        <w:ind w:firstLine="480" w:firstLineChars="200"/>
        <w:jc w:val="left"/>
        <w:rPr>
          <w:rFonts w:ascii="仿宋" w:hAnsi="仿宋" w:eastAsia="仿宋"/>
          <w:bCs/>
          <w:color w:val="auto"/>
          <w:sz w:val="24"/>
        </w:rPr>
      </w:pPr>
      <w:r>
        <w:rPr>
          <w:rFonts w:hint="eastAsia" w:ascii="仿宋" w:hAnsi="仿宋" w:eastAsia="仿宋"/>
          <w:bCs/>
          <w:color w:val="auto"/>
          <w:sz w:val="24"/>
        </w:rPr>
        <w:t>6、技术培训方案。</w:t>
      </w:r>
    </w:p>
    <w:p>
      <w:pPr>
        <w:ind w:firstLine="480" w:firstLineChars="200"/>
        <w:rPr>
          <w:color w:val="auto"/>
        </w:rPr>
      </w:pPr>
      <w:r>
        <w:rPr>
          <w:rFonts w:hint="eastAsia" w:ascii="仿宋" w:hAnsi="仿宋" w:eastAsia="仿宋"/>
          <w:bCs/>
          <w:color w:val="auto"/>
          <w:sz w:val="24"/>
        </w:rPr>
        <w:t>7、针对采购需求要求和评分标准要求的售后服务及优惠承诺。</w:t>
      </w:r>
    </w:p>
    <w:p>
      <w:pPr>
        <w:pStyle w:val="4"/>
        <w:ind w:firstLine="480" w:firstLineChars="200"/>
        <w:rPr>
          <w:rFonts w:ascii="仿宋" w:hAnsi="仿宋" w:eastAsia="仿宋"/>
          <w:bCs/>
          <w:color w:val="auto"/>
          <w:sz w:val="24"/>
        </w:rPr>
      </w:pPr>
      <w:r>
        <w:rPr>
          <w:rFonts w:hint="eastAsia" w:ascii="仿宋" w:hAnsi="仿宋" w:eastAsia="仿宋"/>
          <w:color w:val="auto"/>
          <w:sz w:val="24"/>
        </w:rPr>
        <w:t>8、</w:t>
      </w:r>
      <w:r>
        <w:rPr>
          <w:rFonts w:hint="eastAsia" w:ascii="仿宋" w:hAnsi="仿宋" w:eastAsia="仿宋"/>
          <w:color w:val="auto"/>
          <w:sz w:val="24"/>
          <w:lang w:eastAsia="zh-CN"/>
        </w:rPr>
        <w:t>相关</w:t>
      </w:r>
      <w:r>
        <w:rPr>
          <w:rFonts w:hint="eastAsia" w:ascii="仿宋" w:hAnsi="仿宋" w:eastAsia="仿宋"/>
          <w:bCs/>
          <w:color w:val="auto"/>
          <w:sz w:val="24"/>
          <w:lang w:eastAsia="zh-CN"/>
        </w:rPr>
        <w:t>软件著作权证书复印件</w:t>
      </w:r>
      <w:r>
        <w:rPr>
          <w:rFonts w:hint="eastAsia" w:ascii="仿宋" w:hAnsi="仿宋" w:eastAsia="仿宋"/>
          <w:bCs/>
          <w:color w:val="auto"/>
          <w:sz w:val="24"/>
        </w:rPr>
        <w:t>。</w:t>
      </w:r>
    </w:p>
    <w:p>
      <w:pPr>
        <w:pStyle w:val="4"/>
        <w:ind w:firstLine="480" w:firstLineChars="200"/>
        <w:rPr>
          <w:color w:val="auto"/>
        </w:rPr>
      </w:pPr>
      <w:r>
        <w:rPr>
          <w:rFonts w:hint="eastAsia" w:ascii="仿宋" w:hAnsi="仿宋" w:eastAsia="仿宋"/>
          <w:color w:val="auto"/>
          <w:sz w:val="24"/>
        </w:rPr>
        <w:t>9、</w:t>
      </w:r>
      <w:r>
        <w:rPr>
          <w:rFonts w:hint="eastAsia" w:ascii="仿宋" w:hAnsi="仿宋" w:eastAsia="仿宋" w:cs="宋体"/>
          <w:color w:val="auto"/>
          <w:sz w:val="24"/>
        </w:rPr>
        <w:t>类似业绩证明材料。</w:t>
      </w:r>
    </w:p>
    <w:p>
      <w:pPr>
        <w:ind w:firstLine="480" w:firstLineChars="200"/>
        <w:jc w:val="left"/>
        <w:rPr>
          <w:rFonts w:ascii="仿宋" w:hAnsi="仿宋" w:eastAsia="仿宋"/>
          <w:color w:val="auto"/>
          <w:sz w:val="24"/>
        </w:rPr>
      </w:pPr>
      <w:r>
        <w:rPr>
          <w:rFonts w:hint="eastAsia" w:ascii="仿宋" w:hAnsi="仿宋" w:eastAsia="仿宋"/>
          <w:color w:val="auto"/>
          <w:sz w:val="24"/>
        </w:rPr>
        <w:t>10、需要说明的其他内容。</w:t>
      </w:r>
    </w:p>
    <w:p>
      <w:pPr>
        <w:pStyle w:val="4"/>
        <w:rPr>
          <w:rFonts w:eastAsia="仿宋"/>
          <w:b/>
          <w:bCs/>
          <w:color w:val="auto"/>
        </w:rPr>
      </w:pPr>
      <w:r>
        <w:rPr>
          <w:rFonts w:hint="eastAsia" w:ascii="仿宋" w:hAnsi="仿宋" w:eastAsia="仿宋"/>
          <w:b/>
          <w:bCs/>
          <w:color w:val="auto"/>
          <w:sz w:val="24"/>
        </w:rPr>
        <w:t>（三）报价文件</w:t>
      </w:r>
    </w:p>
    <w:p>
      <w:pPr>
        <w:ind w:firstLine="480" w:firstLineChars="200"/>
        <w:jc w:val="left"/>
        <w:rPr>
          <w:rFonts w:ascii="仿宋" w:hAnsi="仿宋" w:eastAsia="仿宋"/>
          <w:color w:val="auto"/>
          <w:sz w:val="24"/>
        </w:rPr>
      </w:pPr>
      <w:r>
        <w:rPr>
          <w:rFonts w:ascii="仿宋" w:hAnsi="仿宋" w:eastAsia="仿宋"/>
          <w:color w:val="auto"/>
          <w:sz w:val="24"/>
        </w:rPr>
        <w:t>1、投标报价清单</w:t>
      </w:r>
      <w:r>
        <w:rPr>
          <w:rFonts w:hint="eastAsia" w:ascii="仿宋" w:hAnsi="仿宋" w:eastAsia="仿宋"/>
          <w:color w:val="auto"/>
          <w:sz w:val="24"/>
        </w:rPr>
        <w:t>（含软件开发费用、技术费用、知识产权使用费、人员工资和上门服务费用、调试费用、培训费用、免费服务期内的软件升级和服务费用、税金等所涉及本项目的一切费用。投标报价高于采购预算的，则该报价为无效报价。报价以人民币计，并以大写为准)。</w:t>
      </w:r>
      <w:r>
        <w:rPr>
          <w:rFonts w:hint="eastAsia" w:ascii="仿宋" w:hAnsi="仿宋" w:eastAsia="仿宋"/>
          <w:b/>
          <w:color w:val="auto"/>
          <w:sz w:val="24"/>
        </w:rPr>
        <w:t>投标报价清单必须单独密封，格式见附件1。</w:t>
      </w:r>
    </w:p>
    <w:p>
      <w:pPr>
        <w:ind w:firstLine="480" w:firstLineChars="200"/>
        <w:jc w:val="left"/>
        <w:rPr>
          <w:rFonts w:ascii="仿宋" w:hAnsi="仿宋" w:eastAsia="仿宋" w:cs="仿宋_GB2312"/>
          <w:color w:val="auto"/>
          <w:sz w:val="24"/>
        </w:rPr>
      </w:pPr>
      <w:r>
        <w:rPr>
          <w:rFonts w:hint="eastAsia" w:ascii="仿宋" w:hAnsi="仿宋" w:eastAsia="仿宋"/>
          <w:color w:val="auto"/>
          <w:sz w:val="24"/>
        </w:rPr>
        <w:t>2.供应商针对报价需要说明的其他文件和说明（格式自拟）。</w:t>
      </w:r>
    </w:p>
    <w:p>
      <w:pPr>
        <w:ind w:firstLine="472" w:firstLineChars="196"/>
        <w:jc w:val="left"/>
        <w:rPr>
          <w:rFonts w:ascii="仿宋" w:hAnsi="仿宋" w:eastAsia="仿宋"/>
          <w:b/>
          <w:color w:val="auto"/>
          <w:sz w:val="24"/>
        </w:rPr>
      </w:pPr>
      <w:r>
        <w:rPr>
          <w:rFonts w:hint="eastAsia" w:ascii="仿宋" w:hAnsi="仿宋" w:eastAsia="仿宋"/>
          <w:b/>
          <w:color w:val="auto"/>
          <w:sz w:val="24"/>
        </w:rPr>
        <w:t>三、开标时间、地点</w:t>
      </w:r>
    </w:p>
    <w:p>
      <w:pPr>
        <w:ind w:firstLine="480" w:firstLineChars="200"/>
        <w:jc w:val="left"/>
        <w:rPr>
          <w:rFonts w:ascii="仿宋" w:hAnsi="仿宋" w:eastAsia="仿宋"/>
          <w:color w:val="auto"/>
          <w:sz w:val="24"/>
        </w:rPr>
      </w:pPr>
      <w:r>
        <w:rPr>
          <w:rFonts w:hint="eastAsia" w:ascii="仿宋" w:hAnsi="仿宋" w:eastAsia="仿宋"/>
          <w:color w:val="auto"/>
          <w:sz w:val="24"/>
        </w:rPr>
        <w:t>1.开标时间：</w:t>
      </w:r>
      <w:r>
        <w:rPr>
          <w:rFonts w:hint="eastAsia" w:ascii="仿宋" w:hAnsi="仿宋" w:eastAsia="仿宋"/>
          <w:color w:val="auto"/>
          <w:sz w:val="24"/>
          <w:highlight w:val="none"/>
        </w:rPr>
        <w:t>2023年</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0</w:t>
      </w:r>
      <w:r>
        <w:rPr>
          <w:rFonts w:hint="eastAsia" w:ascii="仿宋" w:hAnsi="仿宋" w:eastAsia="仿宋"/>
          <w:color w:val="auto"/>
          <w:sz w:val="24"/>
        </w:rPr>
        <w:t>；</w:t>
      </w:r>
    </w:p>
    <w:p>
      <w:pPr>
        <w:ind w:firstLine="480" w:firstLineChars="200"/>
        <w:jc w:val="left"/>
        <w:rPr>
          <w:rFonts w:ascii="仿宋" w:hAnsi="仿宋" w:eastAsia="仿宋"/>
          <w:color w:val="auto"/>
          <w:sz w:val="24"/>
        </w:rPr>
      </w:pPr>
      <w:r>
        <w:rPr>
          <w:rFonts w:hint="eastAsia" w:ascii="仿宋" w:hAnsi="仿宋" w:eastAsia="仿宋"/>
          <w:color w:val="auto"/>
          <w:sz w:val="24"/>
        </w:rPr>
        <w:t>2.开标地点：湖州市二环东路759号湖州师范学院东校区明达楼202室；</w:t>
      </w:r>
    </w:p>
    <w:p>
      <w:pPr>
        <w:ind w:firstLine="480" w:firstLineChars="200"/>
        <w:jc w:val="left"/>
        <w:rPr>
          <w:rFonts w:ascii="仿宋" w:hAnsi="仿宋" w:eastAsia="仿宋"/>
          <w:color w:val="auto"/>
          <w:sz w:val="24"/>
        </w:rPr>
      </w:pPr>
      <w:r>
        <w:rPr>
          <w:rFonts w:hint="eastAsia" w:ascii="仿宋" w:hAnsi="仿宋" w:eastAsia="仿宋"/>
          <w:color w:val="auto"/>
          <w:sz w:val="24"/>
        </w:rPr>
        <w:t>3.联系人：张老师；</w:t>
      </w:r>
    </w:p>
    <w:p>
      <w:pPr>
        <w:ind w:firstLine="470" w:firstLineChars="196"/>
        <w:jc w:val="left"/>
        <w:rPr>
          <w:rFonts w:ascii="仿宋" w:hAnsi="仿宋" w:eastAsia="仿宋" w:cs="仿宋_GB2312"/>
          <w:color w:val="auto"/>
          <w:sz w:val="24"/>
        </w:rPr>
      </w:pPr>
      <w:r>
        <w:rPr>
          <w:rFonts w:hint="eastAsia" w:ascii="仿宋" w:hAnsi="仿宋" w:eastAsia="仿宋" w:cs="仿宋_GB2312"/>
          <w:color w:val="auto"/>
          <w:sz w:val="24"/>
        </w:rPr>
        <w:t>4.电话：0572-2322188</w:t>
      </w:r>
      <w:r>
        <w:rPr>
          <w:rFonts w:hint="eastAsia" w:ascii="仿宋" w:hAnsi="仿宋" w:eastAsia="仿宋"/>
          <w:color w:val="auto"/>
          <w:sz w:val="24"/>
        </w:rPr>
        <w:t>。</w:t>
      </w:r>
    </w:p>
    <w:p>
      <w:pPr>
        <w:ind w:firstLine="472" w:firstLineChars="196"/>
        <w:jc w:val="left"/>
        <w:rPr>
          <w:rFonts w:ascii="仿宋" w:hAnsi="仿宋" w:eastAsia="仿宋"/>
          <w:b/>
          <w:color w:val="auto"/>
          <w:sz w:val="24"/>
        </w:rPr>
      </w:pPr>
      <w:r>
        <w:rPr>
          <w:rFonts w:hint="eastAsia" w:ascii="仿宋" w:hAnsi="仿宋" w:eastAsia="仿宋"/>
          <w:b/>
          <w:color w:val="auto"/>
          <w:sz w:val="24"/>
        </w:rPr>
        <w:t>四、中标办法</w:t>
      </w:r>
    </w:p>
    <w:p>
      <w:pPr>
        <w:ind w:firstLine="480" w:firstLineChars="200"/>
        <w:contextualSpacing/>
        <w:jc w:val="left"/>
        <w:rPr>
          <w:rFonts w:ascii="仿宋" w:hAnsi="仿宋" w:eastAsia="仿宋"/>
          <w:color w:val="auto"/>
          <w:sz w:val="24"/>
        </w:rPr>
      </w:pPr>
      <w:r>
        <w:rPr>
          <w:rFonts w:hint="eastAsia" w:ascii="仿宋" w:hAnsi="仿宋" w:eastAsia="仿宋"/>
          <w:color w:val="auto"/>
          <w:sz w:val="24"/>
        </w:rPr>
        <w:t>本次评标采用综合评分法，总分为100分，其中价格分20分，技术、商务、资信及其他分80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color w:val="auto"/>
          <w:sz w:val="24"/>
        </w:rPr>
      </w:pPr>
      <w:r>
        <w:rPr>
          <w:rFonts w:hint="eastAsia" w:ascii="仿宋" w:hAnsi="仿宋" w:eastAsia="仿宋"/>
          <w:color w:val="auto"/>
          <w:sz w:val="24"/>
        </w:rPr>
        <w:t>投标人评标综合得分=价格分+(技术、商务、资信及其他分)。</w:t>
      </w:r>
    </w:p>
    <w:p>
      <w:pPr>
        <w:ind w:firstLine="482" w:firstLineChars="200"/>
        <w:jc w:val="left"/>
        <w:rPr>
          <w:rFonts w:ascii="仿宋" w:hAnsi="仿宋" w:eastAsia="仿宋"/>
          <w:b/>
          <w:color w:val="auto"/>
          <w:sz w:val="24"/>
        </w:rPr>
      </w:pPr>
      <w:r>
        <w:rPr>
          <w:rFonts w:hint="eastAsia" w:ascii="仿宋" w:hAnsi="仿宋" w:eastAsia="仿宋"/>
          <w:b/>
          <w:color w:val="auto"/>
          <w:sz w:val="24"/>
        </w:rPr>
        <w:t>1.价格分：20分。</w:t>
      </w:r>
    </w:p>
    <w:p>
      <w:pPr>
        <w:ind w:firstLine="480" w:firstLineChars="200"/>
        <w:jc w:val="left"/>
        <w:rPr>
          <w:color w:val="auto"/>
        </w:rPr>
      </w:pPr>
      <w:r>
        <w:rPr>
          <w:rFonts w:hint="eastAsia" w:ascii="仿宋" w:hAnsi="仿宋" w:eastAsia="仿宋"/>
          <w:color w:val="auto"/>
          <w:sz w:val="24"/>
        </w:rPr>
        <w:t>投标报价高于采购预算的，则该报价为无效报价。在报价允许范围内，投标人中报价最低的为评标基准价，其价格分为满分，其他投标人的价格分按照下列公式计算：价格分=（评标基准价/投标人报价）×100。</w:t>
      </w:r>
    </w:p>
    <w:p>
      <w:pPr>
        <w:ind w:firstLine="482" w:firstLineChars="200"/>
        <w:jc w:val="left"/>
        <w:rPr>
          <w:rFonts w:ascii="仿宋" w:hAnsi="仿宋" w:eastAsia="仿宋"/>
          <w:b/>
          <w:color w:val="auto"/>
          <w:sz w:val="24"/>
        </w:rPr>
      </w:pPr>
      <w:r>
        <w:rPr>
          <w:rFonts w:hint="eastAsia" w:ascii="仿宋" w:hAnsi="仿宋" w:eastAsia="仿宋"/>
          <w:b/>
          <w:color w:val="auto"/>
          <w:sz w:val="24"/>
        </w:rPr>
        <w:t>2.技术、商务、资信及其他分：80分。</w:t>
      </w:r>
    </w:p>
    <w:p>
      <w:pPr>
        <w:ind w:firstLine="480" w:firstLineChars="200"/>
        <w:jc w:val="left"/>
        <w:rPr>
          <w:rFonts w:ascii="仿宋" w:hAnsi="仿宋" w:eastAsia="仿宋"/>
          <w:color w:val="auto"/>
          <w:sz w:val="24"/>
        </w:rPr>
      </w:pPr>
      <w:r>
        <w:rPr>
          <w:rFonts w:hint="eastAsia" w:ascii="仿宋" w:hAnsi="仿宋" w:eastAsia="仿宋"/>
          <w:color w:val="auto"/>
          <w:sz w:val="24"/>
        </w:rPr>
        <w:t>本部分按照评标小组成员的独立评分结果汇总数的算术平均分计算，计算公式为：得分=（评标小组所有成员评分合计数）/（评标小组组成人员数）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078"/>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pPr>
              <w:jc w:val="center"/>
              <w:rPr>
                <w:color w:val="auto"/>
              </w:rPr>
            </w:pPr>
            <w:r>
              <w:rPr>
                <w:rFonts w:hint="eastAsia" w:ascii="仿宋" w:hAnsi="仿宋" w:eastAsia="仿宋" w:cs="仿宋"/>
                <w:b/>
                <w:bCs/>
                <w:color w:val="auto"/>
                <w:sz w:val="24"/>
              </w:rPr>
              <w:t>评分项</w:t>
            </w:r>
          </w:p>
        </w:tc>
        <w:tc>
          <w:tcPr>
            <w:tcW w:w="2078" w:type="dxa"/>
            <w:vAlign w:val="center"/>
          </w:tcPr>
          <w:p>
            <w:pPr>
              <w:jc w:val="center"/>
              <w:rPr>
                <w:color w:val="auto"/>
              </w:rPr>
            </w:pPr>
            <w:r>
              <w:rPr>
                <w:rFonts w:hint="eastAsia" w:ascii="仿宋" w:hAnsi="仿宋" w:eastAsia="仿宋" w:cs="仿宋"/>
                <w:b/>
                <w:bCs/>
                <w:color w:val="auto"/>
                <w:sz w:val="24"/>
              </w:rPr>
              <w:t>评分因素</w:t>
            </w:r>
          </w:p>
        </w:tc>
        <w:tc>
          <w:tcPr>
            <w:tcW w:w="6291" w:type="dxa"/>
            <w:vAlign w:val="center"/>
          </w:tcPr>
          <w:p>
            <w:pPr>
              <w:jc w:val="center"/>
              <w:rPr>
                <w:color w:val="auto"/>
              </w:rPr>
            </w:pPr>
            <w:r>
              <w:rPr>
                <w:rFonts w:hint="eastAsia" w:ascii="仿宋" w:hAnsi="仿宋" w:eastAsia="仿宋" w:cs="仿宋"/>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59" w:type="dxa"/>
            <w:vMerge w:val="restart"/>
            <w:vAlign w:val="center"/>
          </w:tcPr>
          <w:p>
            <w:pPr>
              <w:pStyle w:val="30"/>
              <w:ind w:firstLine="0" w:firstLineChars="0"/>
              <w:jc w:val="left"/>
              <w:rPr>
                <w:color w:val="auto"/>
              </w:rPr>
            </w:pPr>
            <w:r>
              <w:rPr>
                <w:rFonts w:hint="eastAsia" w:ascii="仿宋" w:hAnsi="仿宋" w:eastAsia="仿宋" w:cs="仿宋"/>
                <w:color w:val="auto"/>
                <w:sz w:val="24"/>
              </w:rPr>
              <w:t>技术分（60分）</w:t>
            </w:r>
          </w:p>
        </w:tc>
        <w:tc>
          <w:tcPr>
            <w:tcW w:w="2078" w:type="dxa"/>
            <w:vAlign w:val="center"/>
          </w:tcPr>
          <w:p>
            <w:pPr>
              <w:snapToGrid w:val="0"/>
              <w:jc w:val="left"/>
              <w:rPr>
                <w:color w:val="auto"/>
              </w:rPr>
            </w:pPr>
            <w:r>
              <w:rPr>
                <w:rFonts w:hint="eastAsia" w:ascii="仿宋" w:hAnsi="仿宋" w:eastAsia="仿宋" w:cs="仿宋"/>
                <w:color w:val="auto"/>
                <w:sz w:val="24"/>
              </w:rPr>
              <w:t>1、系统功能（0～16分）</w:t>
            </w:r>
          </w:p>
        </w:tc>
        <w:tc>
          <w:tcPr>
            <w:tcW w:w="6291" w:type="dxa"/>
            <w:vAlign w:val="center"/>
          </w:tcPr>
          <w:p>
            <w:pPr>
              <w:snapToGrid w:val="0"/>
              <w:rPr>
                <w:color w:val="auto"/>
              </w:rPr>
            </w:pPr>
            <w:r>
              <w:rPr>
                <w:rFonts w:hint="eastAsia" w:ascii="仿宋" w:hAnsi="仿宋" w:eastAsia="仿宋" w:cs="仿宋"/>
                <w:color w:val="auto"/>
                <w:sz w:val="24"/>
              </w:rPr>
              <w:t>系统功能与招标需求一致的，得16分；任何一项带“▲”号实质性指标发生负偏离，投标无效；</w:t>
            </w:r>
            <w:r>
              <w:rPr>
                <w:rFonts w:hint="eastAsia" w:ascii="仿宋" w:hAnsi="仿宋" w:eastAsia="仿宋" w:cs="仿宋"/>
                <w:color w:val="auto"/>
                <w:sz w:val="24"/>
                <w:lang w:val="zh-CN"/>
              </w:rPr>
              <w:t>允许偏离的</w:t>
            </w:r>
            <w:r>
              <w:rPr>
                <w:rFonts w:hint="eastAsia" w:ascii="仿宋" w:hAnsi="仿宋" w:eastAsia="仿宋" w:cs="仿宋"/>
                <w:color w:val="auto"/>
                <w:sz w:val="24"/>
              </w:rPr>
              <w:t>带“★”号</w:t>
            </w:r>
            <w:r>
              <w:rPr>
                <w:rFonts w:hint="eastAsia" w:ascii="仿宋" w:hAnsi="仿宋" w:eastAsia="仿宋" w:cs="仿宋"/>
                <w:color w:val="auto"/>
                <w:sz w:val="24"/>
                <w:lang w:val="zh-CN"/>
              </w:rPr>
              <w:t>指标低于招标需求（负偏离）的，每低于一项扣</w:t>
            </w:r>
            <w:r>
              <w:rPr>
                <w:rFonts w:hint="eastAsia" w:ascii="仿宋" w:hAnsi="仿宋" w:eastAsia="仿宋" w:cs="仿宋"/>
                <w:color w:val="auto"/>
                <w:sz w:val="24"/>
              </w:rPr>
              <w:t>2</w:t>
            </w:r>
            <w:r>
              <w:rPr>
                <w:rFonts w:hint="eastAsia" w:ascii="仿宋" w:hAnsi="仿宋" w:eastAsia="仿宋" w:cs="仿宋"/>
                <w:color w:val="auto"/>
                <w:sz w:val="24"/>
                <w:lang w:val="zh-CN"/>
              </w:rPr>
              <w:t>分</w:t>
            </w:r>
            <w:r>
              <w:rPr>
                <w:rFonts w:hint="eastAsia" w:ascii="仿宋" w:hAnsi="仿宋" w:eastAsia="仿宋" w:cs="仿宋"/>
                <w:color w:val="auto"/>
                <w:sz w:val="24"/>
              </w:rPr>
              <w:t>；允许偏离的非带“★”号指标低于招标需求（负偏离）的，每低于一项扣1分，扣完该项得分为止。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pStyle w:val="15"/>
              <w:autoSpaceDE/>
              <w:autoSpaceDN/>
              <w:adjustRightInd/>
              <w:snapToGrid w:val="0"/>
              <w:spacing w:line="360" w:lineRule="auto"/>
              <w:ind w:firstLine="0" w:firstLineChars="0"/>
              <w:rPr>
                <w:rFonts w:ascii="仿宋" w:hAnsi="仿宋" w:eastAsia="仿宋" w:cs="仿宋"/>
                <w:color w:val="auto"/>
                <w:kern w:val="2"/>
                <w:sz w:val="24"/>
                <w:szCs w:val="24"/>
              </w:rPr>
            </w:pPr>
            <w:r>
              <w:rPr>
                <w:rFonts w:hint="eastAsia" w:ascii="仿宋" w:hAnsi="仿宋" w:eastAsia="仿宋" w:cs="仿宋"/>
                <w:color w:val="auto"/>
                <w:sz w:val="24"/>
              </w:rPr>
              <w:t>2、</w:t>
            </w:r>
            <w:r>
              <w:rPr>
                <w:rFonts w:ascii="仿宋" w:hAnsi="仿宋" w:eastAsia="仿宋" w:cs="仿宋"/>
                <w:color w:val="auto"/>
                <w:kern w:val="2"/>
                <w:sz w:val="24"/>
                <w:szCs w:val="24"/>
              </w:rPr>
              <w:t>系统演示</w:t>
            </w:r>
          </w:p>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（0～24分）</w:t>
            </w:r>
          </w:p>
        </w:tc>
        <w:tc>
          <w:tcPr>
            <w:tcW w:w="6291" w:type="dxa"/>
            <w:vAlign w:val="center"/>
          </w:tcPr>
          <w:p>
            <w:pPr>
              <w:snapToGrid w:val="0"/>
              <w:spacing w:line="360" w:lineRule="auto"/>
              <w:rPr>
                <w:rFonts w:ascii="仿宋" w:hAnsi="仿宋" w:eastAsia="仿宋" w:cs="宋体"/>
                <w:color w:val="auto"/>
                <w:kern w:val="0"/>
                <w:sz w:val="24"/>
              </w:rPr>
            </w:pPr>
            <w:r>
              <w:rPr>
                <w:rFonts w:hint="eastAsia" w:ascii="仿宋" w:hAnsi="仿宋" w:eastAsia="仿宋" w:cs="仿宋"/>
                <w:color w:val="auto"/>
                <w:sz w:val="24"/>
              </w:rPr>
              <w:t>依据采购人的需求（附件2中第2项建设内容）进行演示：1.</w:t>
            </w:r>
            <w:r>
              <w:rPr>
                <w:rFonts w:ascii="仿宋" w:hAnsi="仿宋" w:eastAsia="仿宋"/>
                <w:color w:val="auto"/>
                <w:sz w:val="24"/>
              </w:rPr>
              <w:t xml:space="preserve"> </w:t>
            </w:r>
            <w:r>
              <w:rPr>
                <w:rFonts w:hint="eastAsia" w:ascii="仿宋" w:hAnsi="仿宋" w:eastAsia="仿宋"/>
                <w:color w:val="auto"/>
                <w:sz w:val="24"/>
              </w:rPr>
              <w:t>系统设置</w:t>
            </w:r>
            <w:r>
              <w:rPr>
                <w:rFonts w:hint="eastAsia" w:ascii="仿宋" w:hAnsi="仿宋" w:eastAsia="仿宋" w:cs="仿宋"/>
                <w:color w:val="auto"/>
                <w:sz w:val="24"/>
              </w:rPr>
              <w:t>,2. 信息交互管理，3.</w:t>
            </w:r>
            <w:r>
              <w:rPr>
                <w:rFonts w:hint="eastAsia" w:ascii="仿宋" w:hAnsi="仿宋" w:eastAsia="仿宋" w:cs="仿宋"/>
                <w:color w:val="auto"/>
                <w:sz w:val="24"/>
                <w:lang w:eastAsia="zh-CN"/>
              </w:rPr>
              <w:t>设备</w:t>
            </w:r>
            <w:r>
              <w:rPr>
                <w:rFonts w:hint="eastAsia" w:ascii="仿宋" w:hAnsi="仿宋" w:eastAsia="仿宋" w:cs="仿宋"/>
                <w:color w:val="auto"/>
                <w:sz w:val="24"/>
              </w:rPr>
              <w:t>预约，4.安全准入</w:t>
            </w:r>
            <w:r>
              <w:rPr>
                <w:rFonts w:hint="eastAsia" w:ascii="仿宋" w:hAnsi="仿宋" w:eastAsia="仿宋" w:cs="仿宋"/>
                <w:color w:val="auto"/>
                <w:sz w:val="24"/>
                <w:lang w:eastAsia="zh-CN"/>
              </w:rPr>
              <w:t>管理</w:t>
            </w:r>
            <w:r>
              <w:rPr>
                <w:rFonts w:hint="eastAsia" w:ascii="仿宋" w:hAnsi="仿宋" w:eastAsia="仿宋" w:cs="仿宋"/>
                <w:color w:val="auto"/>
                <w:sz w:val="24"/>
              </w:rPr>
              <w:t>。根据是否符合本项目实际需求，所有功能完全响应每项得满分6分，否则不得分。</w:t>
            </w:r>
            <w:r>
              <w:rPr>
                <w:rFonts w:hint="eastAsia" w:ascii="仿宋" w:hAnsi="仿宋" w:eastAsia="仿宋" w:cs="仿宋"/>
                <w:b/>
                <w:bCs/>
                <w:color w:val="auto"/>
                <w:sz w:val="24"/>
              </w:rPr>
              <w:t>（注:根据评标办法及要求，供应商须将演示视频存入U盘（U盘须密封并标明项目名称、项目编号、供应商名称等信息），在投标截止时间前送达至开标地点(须密封，开标现场打开，如演示视频无法打开该项不得分)。未提供原型演示或仅提供 PPT、Word 等演示的不得分。演示时长不得超过 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snapToGrid w:val="0"/>
              <w:spacing w:line="360" w:lineRule="auto"/>
              <w:jc w:val="left"/>
              <w:rPr>
                <w:color w:val="auto"/>
                <w:highlight w:val="yellow"/>
              </w:rPr>
            </w:pPr>
            <w:r>
              <w:rPr>
                <w:rFonts w:hint="eastAsia" w:ascii="仿宋" w:hAnsi="仿宋" w:eastAsia="仿宋" w:cs="仿宋"/>
                <w:color w:val="auto"/>
                <w:sz w:val="24"/>
              </w:rPr>
              <w:t>3、</w:t>
            </w:r>
            <w:r>
              <w:rPr>
                <w:rFonts w:hint="eastAsia" w:ascii="仿宋" w:hAnsi="仿宋" w:eastAsia="仿宋" w:cs="宋体"/>
                <w:color w:val="auto"/>
                <w:kern w:val="0"/>
                <w:sz w:val="24"/>
              </w:rPr>
              <w:t>项目技术方案</w:t>
            </w:r>
            <w:r>
              <w:rPr>
                <w:rFonts w:hint="eastAsia" w:ascii="仿宋" w:hAnsi="仿宋" w:eastAsia="仿宋" w:cs="仿宋"/>
                <w:color w:val="auto"/>
                <w:sz w:val="24"/>
              </w:rPr>
              <w:t>（0～7分）</w:t>
            </w:r>
          </w:p>
        </w:tc>
        <w:tc>
          <w:tcPr>
            <w:tcW w:w="6291" w:type="dxa"/>
            <w:vAlign w:val="center"/>
          </w:tcPr>
          <w:p>
            <w:pPr>
              <w:adjustRightInd w:val="0"/>
              <w:snapToGrid w:val="0"/>
              <w:spacing w:line="360" w:lineRule="auto"/>
              <w:jc w:val="left"/>
              <w:rPr>
                <w:color w:val="auto"/>
                <w:highlight w:val="yellow"/>
              </w:rPr>
            </w:pPr>
            <w:r>
              <w:rPr>
                <w:rFonts w:hint="eastAsia" w:ascii="仿宋" w:hAnsi="仿宋" w:eastAsia="仿宋" w:cs="仿宋"/>
                <w:color w:val="auto"/>
                <w:sz w:val="24"/>
              </w:rPr>
              <w:t>根据技术方案的可行性、合理性、实用性、安全性、完整性、稳定性等评分，方案科学有效的，得6-7分；方案欠佳的，得3-5分；方案存在明显缺陷的，得0-2分；无方案的不得分。不提供不得分。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snapToGrid w:val="0"/>
              <w:spacing w:line="360" w:lineRule="auto"/>
              <w:jc w:val="left"/>
              <w:rPr>
                <w:color w:val="auto"/>
              </w:rPr>
            </w:pPr>
            <w:r>
              <w:rPr>
                <w:rFonts w:hint="eastAsia" w:ascii="仿宋" w:hAnsi="仿宋" w:eastAsia="仿宋" w:cs="仿宋"/>
                <w:color w:val="auto"/>
                <w:sz w:val="24"/>
              </w:rPr>
              <w:t>4、项目进度计划与措施（0～5分）</w:t>
            </w:r>
          </w:p>
        </w:tc>
        <w:tc>
          <w:tcPr>
            <w:tcW w:w="6291" w:type="dxa"/>
            <w:vAlign w:val="center"/>
          </w:tcPr>
          <w:p>
            <w:pPr>
              <w:snapToGrid w:val="0"/>
              <w:spacing w:line="360" w:lineRule="auto"/>
              <w:rPr>
                <w:color w:val="auto"/>
              </w:rPr>
            </w:pPr>
            <w:r>
              <w:rPr>
                <w:rFonts w:hint="eastAsia" w:ascii="仿宋" w:hAnsi="仿宋" w:eastAsia="仿宋" w:cs="仿宋"/>
                <w:color w:val="auto"/>
                <w:sz w:val="24"/>
              </w:rPr>
              <w:t>确保工期的技术组织措施、关键工序、维保总进度表或工期网络图、关键路线清晰，各阶段维保进度计划明确、详实，措施合理、可行的，得4-5分；一般的得3-4分；欠缺的得0-2分。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snapToGrid w:val="0"/>
              <w:spacing w:line="360" w:lineRule="auto"/>
              <w:jc w:val="left"/>
              <w:rPr>
                <w:rFonts w:eastAsia="仿宋"/>
                <w:color w:val="auto"/>
              </w:rPr>
            </w:pPr>
            <w:r>
              <w:rPr>
                <w:rFonts w:hint="eastAsia" w:ascii="仿宋" w:hAnsi="仿宋" w:eastAsia="仿宋"/>
                <w:bCs/>
                <w:color w:val="auto"/>
                <w:sz w:val="24"/>
              </w:rPr>
              <w:t>5、拟投入项目实施人员组成情况（0</w:t>
            </w:r>
            <w:r>
              <w:rPr>
                <w:rFonts w:hint="eastAsia" w:ascii="仿宋" w:hAnsi="仿宋" w:eastAsia="仿宋" w:cs="仿宋"/>
                <w:color w:val="auto"/>
                <w:sz w:val="24"/>
              </w:rPr>
              <w:t>～</w:t>
            </w:r>
            <w:r>
              <w:rPr>
                <w:rFonts w:hint="eastAsia" w:ascii="仿宋" w:hAnsi="仿宋" w:eastAsia="仿宋"/>
                <w:bCs/>
                <w:color w:val="auto"/>
                <w:sz w:val="24"/>
              </w:rPr>
              <w:t>3分）</w:t>
            </w:r>
          </w:p>
        </w:tc>
        <w:tc>
          <w:tcPr>
            <w:tcW w:w="6291" w:type="dxa"/>
            <w:vAlign w:val="center"/>
          </w:tcPr>
          <w:p>
            <w:pPr>
              <w:snapToGrid w:val="0"/>
              <w:spacing w:line="360" w:lineRule="auto"/>
              <w:rPr>
                <w:color w:val="auto"/>
              </w:rPr>
            </w:pPr>
            <w:r>
              <w:rPr>
                <w:rFonts w:hint="eastAsia" w:ascii="仿宋" w:hAnsi="仿宋" w:eastAsia="仿宋" w:cs="仿宋"/>
                <w:color w:val="auto"/>
                <w:sz w:val="24"/>
              </w:rPr>
              <w:t>投入主要技术人员专业性、经验、岗位分工完整性进行对比，人员配置齐全，能很好的分工协调项目实施事宜的得3分；人员配置一般得2分；人员配置不齐，不能有效合理安排的，得0-1分。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snapToGrid w:val="0"/>
              <w:spacing w:line="360" w:lineRule="auto"/>
              <w:jc w:val="left"/>
              <w:rPr>
                <w:color w:val="auto"/>
              </w:rPr>
            </w:pPr>
            <w:r>
              <w:rPr>
                <w:rFonts w:hint="eastAsia" w:ascii="仿宋" w:hAnsi="仿宋" w:eastAsia="仿宋"/>
                <w:bCs/>
                <w:color w:val="auto"/>
                <w:sz w:val="24"/>
              </w:rPr>
              <w:t>6、安装、调试、验收的方案和措施（0</w:t>
            </w:r>
            <w:r>
              <w:rPr>
                <w:rFonts w:hint="eastAsia" w:ascii="仿宋" w:hAnsi="仿宋" w:eastAsia="仿宋" w:cs="仿宋"/>
                <w:color w:val="auto"/>
                <w:sz w:val="24"/>
              </w:rPr>
              <w:t>～5</w:t>
            </w:r>
            <w:r>
              <w:rPr>
                <w:rFonts w:hint="eastAsia" w:ascii="仿宋" w:hAnsi="仿宋" w:eastAsia="仿宋"/>
                <w:bCs/>
                <w:color w:val="auto"/>
                <w:sz w:val="24"/>
              </w:rPr>
              <w:t>分）</w:t>
            </w:r>
          </w:p>
        </w:tc>
        <w:tc>
          <w:tcPr>
            <w:tcW w:w="6291" w:type="dxa"/>
            <w:vAlign w:val="center"/>
          </w:tcPr>
          <w:p>
            <w:pPr>
              <w:snapToGrid w:val="0"/>
              <w:spacing w:line="360" w:lineRule="auto"/>
              <w:rPr>
                <w:color w:val="auto"/>
              </w:rPr>
            </w:pPr>
            <w:r>
              <w:rPr>
                <w:rFonts w:hint="eastAsia" w:ascii="仿宋" w:hAnsi="仿宋" w:eastAsia="仿宋" w:cs="仿宋"/>
                <w:color w:val="auto"/>
                <w:sz w:val="24"/>
              </w:rPr>
              <w:t>安装、调试、验收的各阶段的方案和措施能结合本项目特点、切实可行的，得5分；方案措施欠佳的，每项扣0.5-1分，扣完该项得分为止；方案措施存在明显缺陷的，每项扣1分，扣完该项得分为止；无方案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vAlign w:val="center"/>
          </w:tcPr>
          <w:p>
            <w:pPr>
              <w:jc w:val="left"/>
              <w:rPr>
                <w:color w:val="auto"/>
              </w:rPr>
            </w:pPr>
            <w:r>
              <w:rPr>
                <w:rFonts w:hint="eastAsia" w:ascii="仿宋" w:hAnsi="仿宋" w:eastAsia="仿宋" w:cs="仿宋"/>
                <w:color w:val="auto"/>
                <w:kern w:val="0"/>
                <w:sz w:val="24"/>
              </w:rPr>
              <w:t>商务、资信及其他分（20分）</w:t>
            </w:r>
          </w:p>
        </w:tc>
        <w:tc>
          <w:tcPr>
            <w:tcW w:w="2078" w:type="dxa"/>
            <w:vAlign w:val="center"/>
          </w:tcPr>
          <w:p>
            <w:pPr>
              <w:snapToGrid w:val="0"/>
              <w:spacing w:line="360" w:lineRule="auto"/>
              <w:jc w:val="left"/>
              <w:rPr>
                <w:color w:val="auto"/>
              </w:rPr>
            </w:pPr>
            <w:r>
              <w:rPr>
                <w:rFonts w:hint="eastAsia" w:ascii="仿宋" w:hAnsi="仿宋" w:eastAsia="仿宋" w:cs="仿宋"/>
                <w:color w:val="auto"/>
                <w:sz w:val="24"/>
              </w:rPr>
              <w:t>7、技术培训方案（0～5分）</w:t>
            </w:r>
          </w:p>
        </w:tc>
        <w:tc>
          <w:tcPr>
            <w:tcW w:w="6291" w:type="dxa"/>
            <w:vAlign w:val="center"/>
          </w:tcPr>
          <w:p>
            <w:pPr>
              <w:snapToGrid w:val="0"/>
              <w:spacing w:line="360" w:lineRule="auto"/>
              <w:jc w:val="left"/>
              <w:rPr>
                <w:color w:val="auto"/>
              </w:rPr>
            </w:pPr>
            <w:r>
              <w:rPr>
                <w:rFonts w:hint="eastAsia" w:ascii="仿宋" w:hAnsi="仿宋" w:eastAsia="仿宋" w:cs="仿宋"/>
                <w:color w:val="auto"/>
                <w:sz w:val="24"/>
              </w:rPr>
              <w:t>投标人列出培训对象与内容、培训计划、培训保障（人员、设施、质量等方面）、培训流程等方案</w:t>
            </w:r>
            <w:r>
              <w:rPr>
                <w:rFonts w:hint="eastAsia" w:ascii="仿宋" w:hAnsi="仿宋" w:eastAsia="仿宋" w:cs="仿宋"/>
                <w:color w:val="auto"/>
                <w:kern w:val="0"/>
                <w:sz w:val="24"/>
              </w:rPr>
              <w:t>内容完整、科学合理</w:t>
            </w:r>
            <w:r>
              <w:rPr>
                <w:rFonts w:hint="eastAsia" w:ascii="仿宋" w:hAnsi="仿宋" w:eastAsia="仿宋" w:cs="仿宋"/>
                <w:bCs/>
                <w:color w:val="auto"/>
                <w:sz w:val="24"/>
              </w:rPr>
              <w:t>、切实可行的得</w:t>
            </w:r>
            <w:r>
              <w:rPr>
                <w:rFonts w:ascii="仿宋" w:hAnsi="仿宋" w:eastAsia="仿宋" w:cs="仿宋"/>
                <w:bCs/>
                <w:color w:val="auto"/>
                <w:sz w:val="24"/>
              </w:rPr>
              <w:t>3</w:t>
            </w:r>
            <w:r>
              <w:rPr>
                <w:rFonts w:hint="eastAsia" w:ascii="仿宋" w:hAnsi="仿宋" w:eastAsia="仿宋" w:cs="仿宋"/>
                <w:bCs/>
                <w:color w:val="auto"/>
                <w:sz w:val="24"/>
              </w:rPr>
              <w:t>-</w:t>
            </w:r>
            <w:r>
              <w:rPr>
                <w:rFonts w:ascii="仿宋" w:hAnsi="仿宋" w:eastAsia="仿宋" w:cs="仿宋"/>
                <w:bCs/>
                <w:color w:val="auto"/>
                <w:sz w:val="24"/>
              </w:rPr>
              <w:t>5</w:t>
            </w:r>
            <w:r>
              <w:rPr>
                <w:rFonts w:hint="eastAsia" w:ascii="仿宋" w:hAnsi="仿宋" w:eastAsia="仿宋" w:cs="仿宋"/>
                <w:bCs/>
                <w:color w:val="auto"/>
                <w:sz w:val="24"/>
              </w:rPr>
              <w:t>分</w:t>
            </w:r>
            <w:r>
              <w:rPr>
                <w:rFonts w:hint="eastAsia" w:ascii="仿宋" w:hAnsi="仿宋" w:eastAsia="仿宋" w:cs="仿宋"/>
                <w:color w:val="auto"/>
                <w:sz w:val="24"/>
              </w:rPr>
              <w:t>。培训方案存在欠缺的得0-</w:t>
            </w:r>
            <w:r>
              <w:rPr>
                <w:rFonts w:ascii="仿宋" w:hAnsi="仿宋" w:eastAsia="仿宋" w:cs="仿宋"/>
                <w:color w:val="auto"/>
                <w:sz w:val="24"/>
              </w:rPr>
              <w:t>2</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pPr>
              <w:jc w:val="left"/>
              <w:rPr>
                <w:color w:val="auto"/>
              </w:rPr>
            </w:pPr>
          </w:p>
          <w:p>
            <w:pPr>
              <w:pStyle w:val="4"/>
              <w:rPr>
                <w:color w:val="auto"/>
              </w:rPr>
            </w:pPr>
          </w:p>
        </w:tc>
        <w:tc>
          <w:tcPr>
            <w:tcW w:w="2078" w:type="dxa"/>
            <w:vAlign w:val="center"/>
          </w:tcPr>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8、售后服务及优惠承诺（0～5分）</w:t>
            </w:r>
          </w:p>
        </w:tc>
        <w:tc>
          <w:tcPr>
            <w:tcW w:w="6291" w:type="dxa"/>
            <w:vAlign w:val="center"/>
          </w:tcPr>
          <w:p>
            <w:pPr>
              <w:pStyle w:val="30"/>
              <w:ind w:firstLine="0" w:firstLineChars="0"/>
              <w:rPr>
                <w:rFonts w:ascii="仿宋" w:hAnsi="仿宋" w:eastAsia="仿宋" w:cs="仿宋"/>
                <w:color w:val="auto"/>
                <w:sz w:val="24"/>
              </w:rPr>
            </w:pPr>
            <w:r>
              <w:rPr>
                <w:rFonts w:hint="eastAsia" w:ascii="仿宋" w:hAnsi="仿宋" w:eastAsia="仿宋" w:cs="仿宋"/>
                <w:color w:val="auto"/>
                <w:sz w:val="24"/>
              </w:rPr>
              <w:t>售后服务方案全面周到且优惠幅度大的（如维保响应速度、维保人员安排、维保工作计划等）,得5分，售后服务不全面或优惠不明显的,得2-3分，除招标文件规定内容外无其他售后服务承诺的，该项不得分。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pPr>
              <w:pStyle w:val="4"/>
              <w:rPr>
                <w:color w:val="auto"/>
              </w:rPr>
            </w:pPr>
          </w:p>
        </w:tc>
        <w:tc>
          <w:tcPr>
            <w:tcW w:w="2078" w:type="dxa"/>
            <w:vAlign w:val="center"/>
          </w:tcPr>
          <w:p>
            <w:pPr>
              <w:snapToGrid w:val="0"/>
              <w:spacing w:line="360" w:lineRule="auto"/>
              <w:jc w:val="left"/>
              <w:rPr>
                <w:rFonts w:ascii="仿宋" w:hAnsi="仿宋" w:eastAsia="仿宋" w:cs="仿宋"/>
                <w:color w:val="auto"/>
                <w:sz w:val="24"/>
              </w:rPr>
            </w:pPr>
            <w:r>
              <w:rPr>
                <w:rFonts w:hint="eastAsia" w:ascii="仿宋" w:hAnsi="仿宋" w:eastAsia="仿宋" w:cs="仿宋_GB2312"/>
                <w:color w:val="auto"/>
                <w:sz w:val="24"/>
              </w:rPr>
              <w:t>9、维保期</w:t>
            </w:r>
            <w:r>
              <w:rPr>
                <w:rFonts w:hint="eastAsia" w:ascii="仿宋" w:hAnsi="仿宋" w:eastAsia="仿宋" w:cs="仿宋"/>
                <w:color w:val="auto"/>
                <w:sz w:val="24"/>
              </w:rPr>
              <w:t>（0～3分）</w:t>
            </w:r>
          </w:p>
        </w:tc>
        <w:tc>
          <w:tcPr>
            <w:tcW w:w="6291" w:type="dxa"/>
            <w:vAlign w:val="center"/>
          </w:tcPr>
          <w:p>
            <w:pPr>
              <w:pStyle w:val="30"/>
              <w:ind w:firstLine="0" w:firstLineChars="0"/>
              <w:rPr>
                <w:rFonts w:ascii="仿宋" w:hAnsi="仿宋" w:eastAsia="仿宋" w:cs="仿宋"/>
                <w:color w:val="auto"/>
                <w:sz w:val="24"/>
              </w:rPr>
            </w:pPr>
            <w:r>
              <w:rPr>
                <w:rFonts w:hint="eastAsia" w:ascii="仿宋" w:hAnsi="仿宋" w:eastAsia="仿宋" w:cs="仿宋"/>
                <w:color w:val="auto"/>
                <w:sz w:val="24"/>
              </w:rPr>
              <w:t>质保期超过招标文件规定的，每增加一年，加1分，最高得3分。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pPr>
              <w:pStyle w:val="4"/>
              <w:rPr>
                <w:color w:val="auto"/>
              </w:rPr>
            </w:pPr>
          </w:p>
        </w:tc>
        <w:tc>
          <w:tcPr>
            <w:tcW w:w="2078" w:type="dxa"/>
            <w:vAlign w:val="center"/>
          </w:tcPr>
          <w:p>
            <w:pPr>
              <w:snapToGrid w:val="0"/>
              <w:spacing w:line="360" w:lineRule="auto"/>
              <w:jc w:val="left"/>
              <w:rPr>
                <w:color w:val="auto"/>
              </w:rPr>
            </w:pPr>
            <w:r>
              <w:rPr>
                <w:rFonts w:hint="eastAsia" w:ascii="仿宋" w:hAnsi="仿宋" w:eastAsia="仿宋"/>
                <w:bCs/>
                <w:color w:val="auto"/>
                <w:sz w:val="24"/>
              </w:rPr>
              <w:t>10、</w:t>
            </w:r>
            <w:r>
              <w:rPr>
                <w:rFonts w:hint="eastAsia" w:ascii="仿宋" w:hAnsi="仿宋" w:eastAsia="仿宋"/>
                <w:bCs/>
                <w:color w:val="auto"/>
                <w:sz w:val="24"/>
                <w:lang w:eastAsia="zh-CN"/>
              </w:rPr>
              <w:t>相关</w:t>
            </w:r>
            <w:r>
              <w:rPr>
                <w:rFonts w:hint="eastAsia" w:ascii="仿宋" w:hAnsi="仿宋" w:eastAsia="仿宋"/>
                <w:bCs/>
                <w:color w:val="auto"/>
                <w:sz w:val="24"/>
              </w:rPr>
              <w:t>软件著作权证书</w:t>
            </w:r>
            <w:r>
              <w:rPr>
                <w:rFonts w:hint="eastAsia" w:ascii="仿宋" w:hAnsi="仿宋" w:eastAsia="仿宋" w:cs="仿宋"/>
                <w:color w:val="auto"/>
                <w:sz w:val="24"/>
              </w:rPr>
              <w:t>（0～</w:t>
            </w:r>
            <w:r>
              <w:rPr>
                <w:rFonts w:ascii="仿宋" w:hAnsi="仿宋" w:eastAsia="仿宋" w:cs="仿宋"/>
                <w:color w:val="auto"/>
                <w:sz w:val="24"/>
              </w:rPr>
              <w:t>3</w:t>
            </w:r>
            <w:r>
              <w:rPr>
                <w:rFonts w:hint="eastAsia" w:ascii="仿宋" w:hAnsi="仿宋" w:eastAsia="仿宋" w:cs="仿宋"/>
                <w:color w:val="auto"/>
                <w:sz w:val="24"/>
              </w:rPr>
              <w:t>分）</w:t>
            </w:r>
          </w:p>
        </w:tc>
        <w:tc>
          <w:tcPr>
            <w:tcW w:w="6291" w:type="dxa"/>
            <w:vAlign w:val="center"/>
          </w:tcPr>
          <w:p>
            <w:pPr>
              <w:snapToGrid w:val="0"/>
              <w:spacing w:line="360" w:lineRule="auto"/>
              <w:jc w:val="left"/>
              <w:rPr>
                <w:color w:val="auto"/>
              </w:rPr>
            </w:pPr>
            <w:r>
              <w:rPr>
                <w:rFonts w:hint="eastAsia" w:ascii="仿宋" w:hAnsi="仿宋" w:eastAsia="仿宋" w:cs="仿宋"/>
                <w:color w:val="auto"/>
                <w:sz w:val="24"/>
              </w:rPr>
              <w:t>供应商具有有效的相关软件著作权证书，每提供一个得1分，最多得3分。</w:t>
            </w:r>
            <w:r>
              <w:rPr>
                <w:rFonts w:hint="eastAsia" w:ascii="仿宋" w:hAnsi="仿宋" w:eastAsia="仿宋" w:cs="仿宋"/>
                <w:b/>
                <w:bCs/>
                <w:color w:val="auto"/>
                <w:sz w:val="24"/>
              </w:rPr>
              <w:t>（提供相关证书复印件并加盖公章，否则不得分。）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pPr>
              <w:pStyle w:val="30"/>
              <w:ind w:firstLine="420"/>
              <w:rPr>
                <w:color w:val="auto"/>
              </w:rPr>
            </w:pPr>
          </w:p>
        </w:tc>
        <w:tc>
          <w:tcPr>
            <w:tcW w:w="2078" w:type="dxa"/>
            <w:vAlign w:val="center"/>
          </w:tcPr>
          <w:p>
            <w:pPr>
              <w:snapToGrid w:val="0"/>
              <w:spacing w:line="360" w:lineRule="auto"/>
              <w:jc w:val="left"/>
              <w:rPr>
                <w:rFonts w:ascii="仿宋" w:hAnsi="仿宋" w:eastAsia="仿宋"/>
                <w:bCs/>
                <w:color w:val="auto"/>
                <w:sz w:val="24"/>
              </w:rPr>
            </w:pPr>
            <w:r>
              <w:rPr>
                <w:rFonts w:hint="eastAsia" w:ascii="仿宋" w:hAnsi="仿宋" w:eastAsia="仿宋" w:cs="宋体"/>
                <w:color w:val="auto"/>
                <w:kern w:val="0"/>
                <w:sz w:val="24"/>
              </w:rPr>
              <w:t>11、类似业绩</w:t>
            </w:r>
            <w:r>
              <w:rPr>
                <w:rFonts w:hint="eastAsia" w:ascii="仿宋" w:hAnsi="仿宋" w:eastAsia="仿宋" w:cs="仿宋"/>
                <w:color w:val="auto"/>
                <w:sz w:val="24"/>
              </w:rPr>
              <w:t>（0～4分）</w:t>
            </w:r>
          </w:p>
        </w:tc>
        <w:tc>
          <w:tcPr>
            <w:tcW w:w="6291" w:type="dxa"/>
            <w:vAlign w:val="center"/>
          </w:tcPr>
          <w:p>
            <w:pPr>
              <w:snapToGrid w:val="0"/>
              <w:spacing w:line="360" w:lineRule="auto"/>
              <w:jc w:val="left"/>
              <w:rPr>
                <w:color w:val="auto"/>
              </w:rPr>
            </w:pPr>
            <w:r>
              <w:rPr>
                <w:rFonts w:hint="eastAsia" w:ascii="仿宋" w:hAnsi="仿宋" w:eastAsia="仿宋" w:cs="仿宋"/>
                <w:color w:val="auto"/>
                <w:sz w:val="24"/>
              </w:rPr>
              <w:t>供应商提供2020年1月1日至今成功同类项目业绩或案例证明：供应商提供的1个合同得1分，最高得4分。</w:t>
            </w:r>
            <w:r>
              <w:rPr>
                <w:rFonts w:hint="eastAsia" w:ascii="仿宋" w:hAnsi="仿宋" w:eastAsia="仿宋" w:cs="仿宋"/>
                <w:b/>
                <w:bCs/>
                <w:color w:val="auto"/>
                <w:sz w:val="24"/>
              </w:rPr>
              <w:t>（提供合同复印件加盖公章，未提供不得分；合同签定时间为2020年1月1日至今的合同有效。）</w:t>
            </w:r>
          </w:p>
        </w:tc>
      </w:tr>
    </w:tbl>
    <w:p>
      <w:pPr>
        <w:rPr>
          <w:color w:val="auto"/>
        </w:rPr>
      </w:pPr>
    </w:p>
    <w:p>
      <w:pPr>
        <w:ind w:firstLine="482" w:firstLineChars="200"/>
        <w:jc w:val="left"/>
        <w:rPr>
          <w:rFonts w:ascii="仿宋" w:hAnsi="仿宋" w:eastAsia="仿宋"/>
          <w:b/>
          <w:color w:val="auto"/>
          <w:sz w:val="24"/>
        </w:rPr>
      </w:pPr>
      <w:r>
        <w:rPr>
          <w:rFonts w:hint="eastAsia" w:ascii="仿宋" w:hAnsi="仿宋" w:eastAsia="仿宋"/>
          <w:b/>
          <w:color w:val="auto"/>
          <w:sz w:val="24"/>
        </w:rPr>
        <w:t>以上评分标准中涉及到的相关证书、证明资料均需提供复印件并加盖投标人公章，未提供的此项不得分。</w:t>
      </w:r>
    </w:p>
    <w:p>
      <w:pPr>
        <w:ind w:firstLine="472" w:firstLineChars="196"/>
        <w:jc w:val="left"/>
        <w:rPr>
          <w:rFonts w:ascii="仿宋" w:hAnsi="仿宋" w:eastAsia="仿宋"/>
          <w:b/>
          <w:color w:val="auto"/>
          <w:sz w:val="24"/>
        </w:rPr>
      </w:pPr>
      <w:r>
        <w:rPr>
          <w:rFonts w:hint="eastAsia" w:ascii="仿宋" w:hAnsi="仿宋" w:eastAsia="仿宋"/>
          <w:b/>
          <w:color w:val="auto"/>
          <w:sz w:val="24"/>
        </w:rPr>
        <w:t>五、付款方式</w:t>
      </w:r>
    </w:p>
    <w:p>
      <w:pPr>
        <w:spacing w:line="320" w:lineRule="exact"/>
        <w:ind w:firstLine="480" w:firstLineChars="200"/>
        <w:jc w:val="left"/>
        <w:rPr>
          <w:rFonts w:ascii="仿宋" w:hAnsi="仿宋" w:eastAsia="仿宋"/>
          <w:color w:val="auto"/>
          <w:sz w:val="24"/>
        </w:rPr>
      </w:pPr>
      <w:r>
        <w:rPr>
          <w:rFonts w:hint="eastAsia" w:ascii="仿宋" w:hAnsi="仿宋" w:eastAsia="仿宋"/>
          <w:color w:val="auto"/>
          <w:sz w:val="24"/>
        </w:rPr>
        <w:t>中标人完成本项目并经采购人验收合格后，中标人依法依规开具全额发票，采购人按合同金额原则上于14个工作日内（如遇特殊情况顺延）一次性全额支付款项。</w:t>
      </w:r>
    </w:p>
    <w:p>
      <w:pPr>
        <w:ind w:firstLine="472" w:firstLineChars="196"/>
        <w:jc w:val="left"/>
        <w:rPr>
          <w:rFonts w:ascii="仿宋" w:hAnsi="仿宋" w:eastAsia="仿宋"/>
          <w:b/>
          <w:color w:val="auto"/>
          <w:sz w:val="24"/>
        </w:rPr>
      </w:pPr>
      <w:r>
        <w:rPr>
          <w:rFonts w:hint="eastAsia" w:ascii="仿宋" w:hAnsi="仿宋" w:eastAsia="仿宋"/>
          <w:b/>
          <w:color w:val="auto"/>
          <w:sz w:val="24"/>
          <w:lang w:eastAsia="zh-CN"/>
        </w:rPr>
        <w:t>六</w:t>
      </w:r>
      <w:r>
        <w:rPr>
          <w:rFonts w:hint="eastAsia" w:ascii="仿宋" w:hAnsi="仿宋" w:eastAsia="仿宋"/>
          <w:b/>
          <w:color w:val="auto"/>
          <w:sz w:val="24"/>
        </w:rPr>
        <w:t>、服务要求</w:t>
      </w:r>
    </w:p>
    <w:p>
      <w:pPr>
        <w:ind w:firstLine="480" w:firstLineChars="200"/>
        <w:jc w:val="left"/>
        <w:rPr>
          <w:rFonts w:ascii="仿宋" w:hAnsi="仿宋" w:eastAsia="仿宋"/>
          <w:color w:val="auto"/>
          <w:sz w:val="24"/>
        </w:rPr>
      </w:pPr>
      <w:r>
        <w:rPr>
          <w:rFonts w:hint="eastAsia" w:ascii="仿宋" w:hAnsi="仿宋" w:eastAsia="仿宋"/>
          <w:color w:val="auto"/>
          <w:sz w:val="24"/>
        </w:rPr>
        <w:t>1.供货期限：合同签订后60日内供货并完成安装调试。</w:t>
      </w:r>
    </w:p>
    <w:p>
      <w:pPr>
        <w:pStyle w:val="4"/>
        <w:ind w:firstLine="480" w:firstLineChars="200"/>
        <w:rPr>
          <w:rFonts w:eastAsia="仿宋"/>
          <w:color w:val="auto"/>
        </w:rPr>
      </w:pPr>
      <w:r>
        <w:rPr>
          <w:rFonts w:hint="eastAsia" w:ascii="仿宋" w:hAnsi="仿宋" w:eastAsia="仿宋"/>
          <w:color w:val="auto"/>
          <w:sz w:val="24"/>
        </w:rPr>
        <w:t>2.供货地点：湖州师范学院工学院指定地点。</w:t>
      </w:r>
    </w:p>
    <w:p>
      <w:pPr>
        <w:ind w:firstLine="480" w:firstLineChars="200"/>
        <w:jc w:val="left"/>
        <w:rPr>
          <w:rFonts w:ascii="仿宋" w:hAnsi="仿宋" w:eastAsia="仿宋"/>
          <w:color w:val="auto"/>
          <w:sz w:val="24"/>
        </w:rPr>
      </w:pPr>
      <w:r>
        <w:rPr>
          <w:rFonts w:hint="eastAsia" w:ascii="仿宋" w:hAnsi="仿宋" w:eastAsia="仿宋"/>
          <w:color w:val="auto"/>
          <w:sz w:val="24"/>
        </w:rPr>
        <w:t>3.质保期：自验收合格之日起一年，质保期内免费提供售后服务，提供5x8小时技术支持服务、软件维护升级服务、系统巡检服务及应急服务。质保期满后，提供服务仅收取成本费。</w:t>
      </w:r>
    </w:p>
    <w:p>
      <w:pPr>
        <w:ind w:firstLine="480" w:firstLineChars="200"/>
        <w:jc w:val="left"/>
        <w:rPr>
          <w:rFonts w:ascii="仿宋" w:hAnsi="仿宋" w:eastAsia="仿宋"/>
          <w:color w:val="auto"/>
          <w:sz w:val="24"/>
        </w:rPr>
      </w:pPr>
      <w:r>
        <w:rPr>
          <w:rFonts w:hint="eastAsia" w:ascii="仿宋" w:hAnsi="仿宋" w:eastAsia="仿宋"/>
          <w:color w:val="auto"/>
          <w:sz w:val="24"/>
        </w:rPr>
        <w:t>4.</w:t>
      </w:r>
      <w:r>
        <w:rPr>
          <w:rFonts w:hint="eastAsia" w:ascii="仿宋" w:hAnsi="仿宋" w:eastAsia="仿宋"/>
          <w:bCs/>
          <w:color w:val="auto"/>
          <w:sz w:val="24"/>
        </w:rPr>
        <w:t>软件等须为正版，若因版权等问题造成的损失及产生的纠纷，由中标人承担。</w:t>
      </w:r>
      <w:r>
        <w:rPr>
          <w:rFonts w:hint="eastAsia" w:ascii="仿宋" w:hAnsi="仿宋" w:eastAsia="仿宋"/>
          <w:color w:val="auto"/>
          <w:sz w:val="24"/>
        </w:rPr>
        <w:t>采购人对本项目所有系统、软件等具有永久使用权。</w:t>
      </w:r>
    </w:p>
    <w:p>
      <w:pPr>
        <w:ind w:left="479" w:leftChars="228"/>
        <w:rPr>
          <w:rFonts w:ascii="仿宋" w:hAnsi="仿宋" w:eastAsia="仿宋"/>
          <w:b/>
          <w:color w:val="auto"/>
          <w:sz w:val="24"/>
        </w:rPr>
      </w:pPr>
    </w:p>
    <w:p>
      <w:pPr>
        <w:ind w:left="479" w:leftChars="228"/>
        <w:rPr>
          <w:rFonts w:ascii="仿宋" w:hAnsi="仿宋" w:eastAsia="仿宋"/>
          <w:b/>
          <w:color w:val="auto"/>
          <w:sz w:val="24"/>
        </w:rPr>
      </w:pPr>
      <w:bookmarkStart w:id="0" w:name="OLE_LINK8"/>
      <w:bookmarkEnd w:id="0"/>
      <w:r>
        <w:rPr>
          <w:rFonts w:hint="eastAsia" w:ascii="仿宋" w:hAnsi="仿宋" w:eastAsia="仿宋"/>
          <w:b/>
          <w:color w:val="auto"/>
          <w:sz w:val="24"/>
        </w:rPr>
        <w:t>附件1：投标报价清单</w:t>
      </w:r>
    </w:p>
    <w:p>
      <w:pPr>
        <w:ind w:left="479" w:leftChars="228"/>
        <w:rPr>
          <w:rFonts w:ascii="仿宋" w:hAnsi="仿宋" w:eastAsia="仿宋"/>
          <w:b/>
          <w:color w:val="auto"/>
          <w:sz w:val="24"/>
        </w:rPr>
      </w:pPr>
      <w:r>
        <w:rPr>
          <w:rFonts w:hint="eastAsia" w:ascii="仿宋" w:hAnsi="仿宋" w:eastAsia="仿宋"/>
          <w:b/>
          <w:color w:val="auto"/>
          <w:sz w:val="24"/>
        </w:rPr>
        <w:t>附件2：采购方案</w:t>
      </w:r>
    </w:p>
    <w:p>
      <w:pPr>
        <w:ind w:right="480"/>
        <w:rPr>
          <w:rFonts w:ascii="仿宋" w:hAnsi="仿宋" w:eastAsia="仿宋"/>
          <w:b/>
          <w:color w:val="auto"/>
          <w:sz w:val="24"/>
        </w:rPr>
      </w:pPr>
    </w:p>
    <w:p>
      <w:pPr>
        <w:ind w:right="480" w:firstLine="4698" w:firstLineChars="1950"/>
        <w:jc w:val="right"/>
        <w:rPr>
          <w:rFonts w:ascii="仿宋" w:hAnsi="仿宋" w:eastAsia="仿宋"/>
          <w:b/>
          <w:color w:val="auto"/>
          <w:sz w:val="24"/>
        </w:rPr>
      </w:pPr>
      <w:r>
        <w:rPr>
          <w:rFonts w:hint="eastAsia" w:ascii="仿宋" w:hAnsi="仿宋" w:eastAsia="仿宋"/>
          <w:b/>
          <w:color w:val="auto"/>
          <w:sz w:val="24"/>
        </w:rPr>
        <w:t>湖州师范学院采购中心</w:t>
      </w:r>
    </w:p>
    <w:p>
      <w:pPr>
        <w:ind w:right="480" w:firstLine="5180" w:firstLineChars="2150"/>
        <w:jc w:val="right"/>
        <w:rPr>
          <w:rFonts w:ascii="黑体" w:hAnsi="黑体" w:eastAsia="黑体" w:cs="宋体"/>
          <w:color w:val="auto"/>
          <w:sz w:val="24"/>
          <w:highlight w:val="none"/>
        </w:rPr>
      </w:pPr>
      <w:r>
        <w:rPr>
          <w:rFonts w:hint="eastAsia" w:ascii="仿宋" w:hAnsi="仿宋" w:eastAsia="仿宋"/>
          <w:b/>
          <w:color w:val="auto"/>
          <w:sz w:val="24"/>
          <w:highlight w:val="none"/>
        </w:rPr>
        <w:t>2023年9月</w:t>
      </w:r>
      <w:r>
        <w:rPr>
          <w:rFonts w:hint="eastAsia" w:ascii="仿宋" w:hAnsi="仿宋" w:eastAsia="仿宋"/>
          <w:b/>
          <w:color w:val="auto"/>
          <w:sz w:val="24"/>
          <w:highlight w:val="none"/>
          <w:lang w:val="en-US" w:eastAsia="zh-CN"/>
        </w:rPr>
        <w:t>25</w:t>
      </w:r>
      <w:r>
        <w:rPr>
          <w:rFonts w:hint="eastAsia" w:ascii="仿宋" w:hAnsi="仿宋" w:eastAsia="仿宋"/>
          <w:b/>
          <w:color w:val="auto"/>
          <w:sz w:val="24"/>
          <w:highlight w:val="none"/>
        </w:rPr>
        <w:t>日</w:t>
      </w:r>
    </w:p>
    <w:p>
      <w:pPr>
        <w:rPr>
          <w:color w:val="auto"/>
        </w:rPr>
      </w:pPr>
    </w:p>
    <w:p>
      <w:pPr>
        <w:rPr>
          <w:rFonts w:ascii="黑体" w:hAnsi="黑体" w:eastAsia="黑体" w:cs="宋体"/>
          <w:color w:val="auto"/>
          <w:sz w:val="24"/>
        </w:rPr>
      </w:pPr>
    </w:p>
    <w:p>
      <w:pPr>
        <w:rPr>
          <w:rFonts w:ascii="黑体" w:hAnsi="黑体" w:eastAsia="黑体" w:cs="宋体"/>
          <w:color w:val="auto"/>
          <w:sz w:val="24"/>
        </w:rPr>
      </w:pPr>
    </w:p>
    <w:p>
      <w:pPr>
        <w:rPr>
          <w:rFonts w:ascii="黑体" w:hAnsi="黑体" w:eastAsia="黑体" w:cs="宋体"/>
          <w:color w:val="auto"/>
          <w:sz w:val="24"/>
        </w:rPr>
      </w:pPr>
    </w:p>
    <w:p>
      <w:pPr>
        <w:rPr>
          <w:rFonts w:ascii="黑体" w:hAnsi="黑体" w:eastAsia="黑体" w:cs="宋体"/>
          <w:color w:val="auto"/>
          <w:sz w:val="24"/>
        </w:rPr>
      </w:pPr>
    </w:p>
    <w:p>
      <w:pPr>
        <w:rPr>
          <w:rFonts w:ascii="黑体" w:hAnsi="黑体" w:eastAsia="黑体" w:cs="宋体"/>
          <w:color w:val="auto"/>
          <w:sz w:val="24"/>
        </w:rPr>
      </w:pPr>
      <w:r>
        <w:rPr>
          <w:rFonts w:hint="eastAsia" w:ascii="黑体" w:hAnsi="黑体" w:eastAsia="黑体" w:cs="宋体"/>
          <w:color w:val="auto"/>
          <w:sz w:val="24"/>
        </w:rPr>
        <w:br w:type="page"/>
      </w:r>
      <w:r>
        <w:rPr>
          <w:rFonts w:hint="eastAsia" w:ascii="黑体" w:hAnsi="黑体" w:eastAsia="黑体" w:cs="宋体"/>
          <w:color w:val="auto"/>
          <w:sz w:val="24"/>
        </w:rPr>
        <w:t>附件1：</w:t>
      </w:r>
    </w:p>
    <w:p>
      <w:pPr>
        <w:adjustRightInd w:val="0"/>
        <w:snapToGrid w:val="0"/>
        <w:jc w:val="center"/>
        <w:rPr>
          <w:rFonts w:ascii="仿宋" w:hAnsi="仿宋" w:eastAsia="仿宋" w:cs="仿宋"/>
          <w:b/>
          <w:bCs/>
          <w:color w:val="auto"/>
          <w:sz w:val="32"/>
          <w:szCs w:val="32"/>
        </w:rPr>
      </w:pPr>
      <w:r>
        <w:rPr>
          <w:rFonts w:hint="eastAsia" w:ascii="仿宋" w:hAnsi="仿宋" w:eastAsia="仿宋" w:cs="仿宋"/>
          <w:b/>
          <w:bCs/>
          <w:color w:val="auto"/>
          <w:sz w:val="32"/>
          <w:szCs w:val="32"/>
        </w:rPr>
        <w:t>投标报价清单</w:t>
      </w:r>
    </w:p>
    <w:p>
      <w:pPr>
        <w:rPr>
          <w:color w:val="auto"/>
        </w:rPr>
      </w:pPr>
    </w:p>
    <w:p>
      <w:pPr>
        <w:rPr>
          <w:rFonts w:ascii="仿宋" w:hAnsi="仿宋" w:eastAsia="仿宋" w:cs="宋体"/>
          <w:bCs/>
          <w:color w:val="auto"/>
          <w:kern w:val="0"/>
          <w:sz w:val="24"/>
        </w:rPr>
      </w:pPr>
      <w:r>
        <w:rPr>
          <w:rFonts w:hint="eastAsia" w:ascii="仿宋" w:hAnsi="仿宋" w:eastAsia="仿宋"/>
          <w:b/>
          <w:color w:val="auto"/>
          <w:sz w:val="24"/>
        </w:rPr>
        <w:t>项目名称：</w:t>
      </w:r>
      <w:r>
        <w:rPr>
          <w:rFonts w:hint="eastAsia" w:ascii="仿宋" w:hAnsi="仿宋" w:eastAsia="仿宋"/>
          <w:bCs/>
          <w:color w:val="auto"/>
          <w:sz w:val="24"/>
        </w:rPr>
        <w:t>湖州师范学院工学院智能制造实验教学信息化采购项目</w:t>
      </w:r>
    </w:p>
    <w:p>
      <w:pPr>
        <w:spacing w:line="340" w:lineRule="exact"/>
        <w:jc w:val="left"/>
        <w:rPr>
          <w:rFonts w:eastAsia="仿宋"/>
          <w:color w:val="auto"/>
        </w:rPr>
      </w:pPr>
      <w:r>
        <w:rPr>
          <w:rFonts w:hint="eastAsia" w:ascii="仿宋" w:hAnsi="仿宋" w:eastAsia="仿宋"/>
          <w:b/>
          <w:color w:val="auto"/>
          <w:sz w:val="24"/>
        </w:rPr>
        <w:t>项目编号：</w:t>
      </w:r>
      <w:r>
        <w:rPr>
          <w:rFonts w:hint="eastAsia" w:ascii="仿宋" w:hAnsi="仿宋" w:eastAsia="仿宋"/>
          <w:color w:val="auto"/>
          <w:sz w:val="24"/>
        </w:rPr>
        <w:t>XZ2023-097</w:t>
      </w:r>
    </w:p>
    <w:tbl>
      <w:tblPr>
        <w:tblStyle w:val="16"/>
        <w:tblW w:w="8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1"/>
        <w:gridCol w:w="3675"/>
        <w:gridCol w:w="2880"/>
        <w:gridCol w:w="765"/>
        <w:gridCol w:w="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1" w:hRule="atLeast"/>
          <w:jc w:val="center"/>
        </w:trPr>
        <w:tc>
          <w:tcPr>
            <w:tcW w:w="641" w:type="dxa"/>
            <w:tcBorders>
              <w:bottom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序号</w:t>
            </w:r>
          </w:p>
        </w:tc>
        <w:tc>
          <w:tcPr>
            <w:tcW w:w="3675" w:type="dxa"/>
            <w:tcBorders>
              <w:bottom w:val="single" w:color="auto" w:sz="4" w:space="0"/>
              <w:right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名称</w:t>
            </w:r>
          </w:p>
        </w:tc>
        <w:tc>
          <w:tcPr>
            <w:tcW w:w="2880" w:type="dxa"/>
            <w:tcBorders>
              <w:left w:val="single" w:color="auto" w:sz="4" w:space="0"/>
              <w:bottom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投标系统品牌版本</w:t>
            </w:r>
          </w:p>
        </w:tc>
        <w:tc>
          <w:tcPr>
            <w:tcW w:w="765" w:type="dxa"/>
            <w:tcBorders>
              <w:bottom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单位</w:t>
            </w:r>
          </w:p>
        </w:tc>
        <w:tc>
          <w:tcPr>
            <w:tcW w:w="715" w:type="dxa"/>
            <w:tcBorders>
              <w:bottom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641" w:type="dxa"/>
            <w:tcBorders>
              <w:left w:val="single" w:color="auto" w:sz="4" w:space="0"/>
            </w:tcBorders>
            <w:vAlign w:val="center"/>
          </w:tcPr>
          <w:p>
            <w:pPr>
              <w:widowControl/>
              <w:jc w:val="center"/>
              <w:rPr>
                <w:rFonts w:ascii="仿宋" w:hAnsi="仿宋" w:eastAsia="仿宋"/>
                <w:color w:val="auto"/>
                <w:sz w:val="24"/>
              </w:rPr>
            </w:pPr>
            <w:r>
              <w:rPr>
                <w:rFonts w:hint="eastAsia" w:ascii="仿宋" w:hAnsi="仿宋" w:eastAsia="仿宋" w:cs="仿宋"/>
                <w:bCs/>
                <w:color w:val="auto"/>
                <w:kern w:val="0"/>
                <w:sz w:val="24"/>
                <w:lang w:bidi="ar"/>
              </w:rPr>
              <w:t>1</w:t>
            </w:r>
          </w:p>
        </w:tc>
        <w:tc>
          <w:tcPr>
            <w:tcW w:w="3675"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智能制造实验教学信息化</w:t>
            </w:r>
            <w:r>
              <w:rPr>
                <w:rFonts w:ascii="仿宋" w:hAnsi="仿宋" w:eastAsia="仿宋"/>
                <w:color w:val="auto"/>
                <w:sz w:val="24"/>
              </w:rPr>
              <w:t>系统</w:t>
            </w:r>
          </w:p>
        </w:tc>
        <w:tc>
          <w:tcPr>
            <w:tcW w:w="2880" w:type="dxa"/>
            <w:tcBorders>
              <w:left w:val="single" w:color="auto" w:sz="4" w:space="0"/>
            </w:tcBorders>
            <w:vAlign w:val="center"/>
          </w:tcPr>
          <w:p>
            <w:pPr>
              <w:jc w:val="center"/>
              <w:rPr>
                <w:rFonts w:ascii="仿宋" w:hAnsi="仿宋" w:eastAsia="仿宋"/>
                <w:color w:val="auto"/>
                <w:sz w:val="24"/>
              </w:rPr>
            </w:pPr>
          </w:p>
        </w:tc>
        <w:tc>
          <w:tcPr>
            <w:tcW w:w="765" w:type="dxa"/>
            <w:vAlign w:val="center"/>
          </w:tcPr>
          <w:p>
            <w:pPr>
              <w:jc w:val="center"/>
              <w:rPr>
                <w:rFonts w:ascii="仿宋" w:hAnsi="仿宋" w:eastAsia="仿宋"/>
                <w:color w:val="auto"/>
                <w:sz w:val="24"/>
              </w:rPr>
            </w:pPr>
            <w:r>
              <w:rPr>
                <w:rFonts w:hint="eastAsia" w:ascii="仿宋" w:hAnsi="仿宋" w:eastAsia="仿宋"/>
                <w:color w:val="auto"/>
                <w:sz w:val="24"/>
              </w:rPr>
              <w:t>套</w:t>
            </w:r>
          </w:p>
        </w:tc>
        <w:tc>
          <w:tcPr>
            <w:tcW w:w="715" w:type="dxa"/>
            <w:vAlign w:val="center"/>
          </w:tcPr>
          <w:p>
            <w:pPr>
              <w:jc w:val="center"/>
              <w:rPr>
                <w:rFonts w:ascii="仿宋" w:hAnsi="仿宋" w:eastAsia="仿宋"/>
                <w:color w:val="auto"/>
                <w:sz w:val="24"/>
              </w:rPr>
            </w:pPr>
            <w:r>
              <w:rPr>
                <w:rFonts w:ascii="仿宋" w:hAnsi="仿宋" w:eastAsia="仿宋"/>
                <w:color w:val="auto"/>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8676" w:type="dxa"/>
            <w:gridSpan w:val="5"/>
            <w:tcBorders>
              <w:left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投标报价：大写人民币：            元（￥       元）</w:t>
            </w:r>
          </w:p>
        </w:tc>
      </w:tr>
    </w:tbl>
    <w:p>
      <w:pPr>
        <w:rPr>
          <w:rFonts w:ascii="仿宋" w:hAnsi="仿宋" w:eastAsia="仿宋" w:cs="仿宋"/>
          <w:b/>
          <w:color w:val="auto"/>
          <w:sz w:val="24"/>
        </w:rPr>
      </w:pPr>
    </w:p>
    <w:p>
      <w:pPr>
        <w:rPr>
          <w:rFonts w:ascii="仿宋" w:hAnsi="仿宋" w:eastAsia="仿宋" w:cs="仿宋"/>
          <w:b/>
          <w:color w:val="auto"/>
          <w:sz w:val="24"/>
        </w:rPr>
      </w:pPr>
      <w:r>
        <w:rPr>
          <w:rFonts w:hint="eastAsia" w:ascii="仿宋" w:hAnsi="仿宋" w:eastAsia="仿宋" w:cs="仿宋"/>
          <w:b/>
          <w:color w:val="auto"/>
          <w:sz w:val="24"/>
        </w:rPr>
        <w:t>注：投标报价包含软件开发费用、技术费用、知识产权使用费、人员工资和上门服务费用、调试费用、培训费用、免费服务期内的软件升级和服务费用、税金等所涉及本项目的一切费用。</w:t>
      </w:r>
    </w:p>
    <w:p>
      <w:pPr>
        <w:rPr>
          <w:rFonts w:ascii="仿宋" w:hAnsi="仿宋" w:eastAsia="仿宋" w:cs="仿宋"/>
          <w:b/>
          <w:color w:val="auto"/>
          <w:sz w:val="24"/>
        </w:rPr>
      </w:pPr>
    </w:p>
    <w:p>
      <w:pPr>
        <w:rPr>
          <w:rFonts w:ascii="仿宋" w:hAnsi="仿宋" w:eastAsia="仿宋" w:cs="仿宋"/>
          <w:bCs/>
          <w:color w:val="auto"/>
          <w:sz w:val="24"/>
          <w:u w:val="single"/>
        </w:rPr>
      </w:pPr>
      <w:r>
        <w:rPr>
          <w:rFonts w:hint="eastAsia" w:ascii="仿宋" w:hAnsi="仿宋" w:eastAsia="仿宋" w:cs="仿宋"/>
          <w:b/>
          <w:color w:val="auto"/>
          <w:sz w:val="24"/>
        </w:rPr>
        <w:t xml:space="preserve">                              </w:t>
      </w:r>
      <w:r>
        <w:rPr>
          <w:rFonts w:hint="eastAsia" w:ascii="仿宋" w:hAnsi="仿宋" w:eastAsia="仿宋" w:cs="仿宋"/>
          <w:bCs/>
          <w:color w:val="auto"/>
          <w:sz w:val="24"/>
        </w:rPr>
        <w:t>投标代表（或法定代表人）签字：</w:t>
      </w:r>
      <w:r>
        <w:rPr>
          <w:rFonts w:hint="eastAsia" w:ascii="仿宋" w:hAnsi="仿宋" w:eastAsia="仿宋" w:cs="仿宋"/>
          <w:bCs/>
          <w:color w:val="auto"/>
          <w:sz w:val="24"/>
          <w:u w:val="single"/>
        </w:rPr>
        <w:t xml:space="preserve">               </w:t>
      </w:r>
    </w:p>
    <w:p>
      <w:pPr>
        <w:rPr>
          <w:rFonts w:ascii="仿宋" w:hAnsi="仿宋" w:eastAsia="仿宋" w:cs="仿宋"/>
          <w:bCs/>
          <w:color w:val="auto"/>
          <w:sz w:val="24"/>
          <w:u w:val="single"/>
        </w:rPr>
      </w:pPr>
      <w:r>
        <w:rPr>
          <w:rFonts w:hint="eastAsia" w:ascii="仿宋" w:hAnsi="仿宋" w:eastAsia="仿宋" w:cs="仿宋"/>
          <w:bCs/>
          <w:color w:val="auto"/>
          <w:sz w:val="24"/>
        </w:rPr>
        <w:t xml:space="preserve">                              投标单位名称（盖章）：</w:t>
      </w:r>
      <w:r>
        <w:rPr>
          <w:rFonts w:hint="eastAsia" w:ascii="仿宋" w:hAnsi="仿宋" w:eastAsia="仿宋" w:cs="仿宋"/>
          <w:bCs/>
          <w:color w:val="auto"/>
          <w:sz w:val="24"/>
          <w:u w:val="single"/>
        </w:rPr>
        <w:t xml:space="preserve">                        </w:t>
      </w:r>
    </w:p>
    <w:p>
      <w:pPr>
        <w:ind w:firstLine="3600" w:firstLineChars="1500"/>
        <w:rPr>
          <w:rFonts w:ascii="仿宋" w:hAnsi="仿宋" w:eastAsia="仿宋" w:cs="仿宋"/>
          <w:bCs/>
          <w:color w:val="auto"/>
          <w:sz w:val="24"/>
          <w:u w:val="single"/>
        </w:rPr>
      </w:pPr>
      <w:r>
        <w:rPr>
          <w:rFonts w:hint="eastAsia" w:ascii="仿宋" w:hAnsi="仿宋" w:eastAsia="仿宋" w:cs="仿宋"/>
          <w:bCs/>
          <w:color w:val="auto"/>
          <w:sz w:val="24"/>
        </w:rPr>
        <w:t>投标日期：</w:t>
      </w:r>
      <w:r>
        <w:rPr>
          <w:rFonts w:hint="eastAsia" w:ascii="仿宋" w:hAnsi="仿宋" w:eastAsia="仿宋" w:cs="仿宋"/>
          <w:bCs/>
          <w:color w:val="auto"/>
          <w:sz w:val="24"/>
          <w:u w:val="single"/>
        </w:rPr>
        <w:t xml:space="preserve">                             </w:t>
      </w:r>
    </w:p>
    <w:p>
      <w:pPr>
        <w:rPr>
          <w:rFonts w:ascii="黑体" w:hAnsi="黑体" w:eastAsia="黑体" w:cs="宋体"/>
          <w:color w:val="auto"/>
          <w:sz w:val="24"/>
          <w:u w:val="single"/>
        </w:rPr>
      </w:pPr>
    </w:p>
    <w:p>
      <w:pPr>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黑体" w:hAnsi="黑体" w:eastAsia="黑体" w:cs="宋体"/>
          <w:color w:val="auto"/>
          <w:sz w:val="24"/>
        </w:rPr>
      </w:pPr>
    </w:p>
    <w:p>
      <w:pPr>
        <w:spacing w:before="100" w:line="340" w:lineRule="exact"/>
        <w:jc w:val="left"/>
        <w:rPr>
          <w:rFonts w:ascii="仿宋" w:hAnsi="仿宋" w:eastAsia="仿宋"/>
          <w:b/>
          <w:color w:val="auto"/>
          <w:sz w:val="32"/>
          <w:szCs w:val="32"/>
        </w:rPr>
      </w:pPr>
      <w:r>
        <w:rPr>
          <w:rFonts w:hint="eastAsia" w:ascii="黑体" w:hAnsi="黑体" w:eastAsia="黑体" w:cs="宋体"/>
          <w:color w:val="auto"/>
          <w:sz w:val="24"/>
        </w:rPr>
        <w:t>附件2：</w:t>
      </w:r>
    </w:p>
    <w:p>
      <w:pPr>
        <w:ind w:firstLine="643" w:firstLineChars="200"/>
        <w:jc w:val="center"/>
        <w:rPr>
          <w:rFonts w:ascii="仿宋" w:hAnsi="仿宋" w:eastAsia="仿宋" w:cs="仿宋"/>
          <w:b/>
          <w:bCs/>
          <w:color w:val="auto"/>
          <w:sz w:val="32"/>
          <w:szCs w:val="32"/>
        </w:rPr>
      </w:pPr>
      <w:bookmarkStart w:id="1" w:name="_Toc19786"/>
      <w:bookmarkStart w:id="2" w:name="_Toc138238011"/>
      <w:bookmarkStart w:id="3" w:name="_Toc29348"/>
      <w:r>
        <w:rPr>
          <w:rFonts w:hint="eastAsia" w:ascii="仿宋" w:hAnsi="仿宋" w:eastAsia="仿宋" w:cs="仿宋"/>
          <w:b/>
          <w:bCs/>
          <w:color w:val="auto"/>
          <w:sz w:val="32"/>
          <w:szCs w:val="32"/>
        </w:rPr>
        <w:t>采购方案</w:t>
      </w:r>
    </w:p>
    <w:bookmarkEnd w:id="1"/>
    <w:bookmarkEnd w:id="2"/>
    <w:bookmarkEnd w:id="3"/>
    <w:p>
      <w:pPr>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一、总体要求</w:t>
      </w:r>
    </w:p>
    <w:p>
      <w:pPr>
        <w:ind w:firstLine="480" w:firstLineChars="200"/>
        <w:jc w:val="left"/>
        <w:rPr>
          <w:rFonts w:ascii="仿宋" w:hAnsi="仿宋" w:eastAsia="仿宋"/>
          <w:color w:val="auto"/>
          <w:sz w:val="24"/>
        </w:rPr>
      </w:pPr>
      <w:r>
        <w:rPr>
          <w:rFonts w:hint="eastAsia" w:ascii="仿宋" w:hAnsi="仿宋" w:eastAsia="仿宋"/>
          <w:color w:val="auto"/>
          <w:sz w:val="24"/>
        </w:rPr>
        <w:t>（1）前端设计为网页形式，方便教师和学生在校园网任意终端使用WEB浏览器进行访问；界面设计简捷、友好、清晰，易掌握与操作；并可提供新闻更新，通知公告发布等基本功能；并可与学校微信公众号相连，通过统一身份认证进入完成操作。</w:t>
      </w:r>
    </w:p>
    <w:p>
      <w:pPr>
        <w:ind w:firstLine="480" w:firstLineChars="200"/>
        <w:jc w:val="left"/>
        <w:rPr>
          <w:rFonts w:ascii="仿宋" w:hAnsi="仿宋" w:eastAsia="仿宋"/>
          <w:color w:val="auto"/>
          <w:sz w:val="24"/>
        </w:rPr>
      </w:pPr>
      <w:r>
        <w:rPr>
          <w:rFonts w:hint="eastAsia" w:ascii="仿宋" w:hAnsi="仿宋" w:eastAsia="仿宋"/>
          <w:color w:val="auto"/>
          <w:sz w:val="24"/>
        </w:rPr>
        <w:t>（2）可与学校数据中心和门户管理的无缝对接。实现统一身份认证、实时数据交换和传输。系统集成要求按照学校统一的集成标准和接口规范完成，对学校数据中心开放所有接口，提供数据字典和字段含义说明，后期系统升级调整涉及数据库表结构改动的，要及时通知校方。实验教学中心管理层能实时查看各实验室使用与管理的动态信息，自动生成相关数据报表。同时，充分考虑系统安全性，如物理安全、网络安全、系统安全、应用软件安全、用户安全和数据安全等。</w:t>
      </w:r>
    </w:p>
    <w:p>
      <w:pPr>
        <w:ind w:firstLine="480" w:firstLineChars="200"/>
        <w:jc w:val="left"/>
        <w:rPr>
          <w:rFonts w:ascii="仿宋" w:hAnsi="仿宋" w:eastAsia="仿宋"/>
          <w:color w:val="auto"/>
          <w:sz w:val="24"/>
        </w:rPr>
      </w:pPr>
      <w:r>
        <w:rPr>
          <w:rFonts w:hint="eastAsia" w:ascii="仿宋" w:hAnsi="仿宋" w:eastAsia="仿宋"/>
          <w:color w:val="auto"/>
          <w:sz w:val="24"/>
        </w:rPr>
        <w:t>（3）采用模块化和个性化设计，具有良好的开放性和扩展性；具备二次开发整合接口，利于后续开发功能模块的集成；后台设计保证数据安全，WEB服务通过应用服务访问数据库。符合学校现有数字化校园系统相关协议和标准，方便灵活地与其它系统建立接口。二期开发时可与数据中心、校园一卡通、资产管理系统、科研系统实现数据交互和无缝对接。</w:t>
      </w:r>
    </w:p>
    <w:p>
      <w:pPr>
        <w:ind w:firstLine="480" w:firstLineChars="200"/>
        <w:jc w:val="left"/>
        <w:rPr>
          <w:rFonts w:ascii="仿宋" w:hAnsi="仿宋" w:eastAsia="仿宋"/>
          <w:color w:val="auto"/>
          <w:sz w:val="24"/>
        </w:rPr>
      </w:pPr>
      <w:r>
        <w:rPr>
          <w:rFonts w:hint="eastAsia" w:ascii="仿宋" w:hAnsi="仿宋" w:eastAsia="仿宋"/>
          <w:color w:val="auto"/>
          <w:sz w:val="24"/>
        </w:rPr>
        <w:t>（4）基于B/S架构和三层结构等成熟框架开发，能够完全兼容windows、Linux等系统环境；采用成熟稳定的SQL、Oracle等大型数据库进行后台数据处理，支持与异种数据库之间数据的平滑移植，方便数据的导入、导出；应用逻辑与数据展现独立分离，在集成、交换、应用、展现等方面具有良好的开放性；运行安全稳定，能够至少支持10000用户同时在线使用。</w:t>
      </w:r>
    </w:p>
    <w:p>
      <w:pPr>
        <w:ind w:firstLine="480" w:firstLineChars="200"/>
        <w:jc w:val="left"/>
        <w:rPr>
          <w:rFonts w:ascii="仿宋" w:hAnsi="仿宋" w:eastAsia="仿宋"/>
          <w:color w:val="auto"/>
          <w:sz w:val="24"/>
        </w:rPr>
      </w:pPr>
      <w:bookmarkStart w:id="4" w:name="_Toc22925"/>
      <w:r>
        <w:rPr>
          <w:rFonts w:hint="eastAsia" w:ascii="仿宋" w:hAnsi="仿宋" w:eastAsia="仿宋"/>
          <w:color w:val="auto"/>
          <w:sz w:val="24"/>
        </w:rPr>
        <w:t>（5）预留二期接口，可根据需要实现驾驶舱模式，用于展示教学实验设施与仪器设备的开放共享的统计图表并可实现联网功能。</w:t>
      </w:r>
    </w:p>
    <w:p>
      <w:pPr>
        <w:ind w:firstLine="480" w:firstLineChars="200"/>
        <w:jc w:val="left"/>
        <w:rPr>
          <w:rFonts w:ascii="仿宋" w:hAnsi="仿宋" w:eastAsia="仿宋"/>
          <w:color w:val="auto"/>
          <w:sz w:val="24"/>
        </w:rPr>
      </w:pPr>
    </w:p>
    <w:bookmarkEnd w:id="4"/>
    <w:p>
      <w:pPr>
        <w:ind w:firstLine="482" w:firstLineChars="200"/>
        <w:jc w:val="left"/>
        <w:rPr>
          <w:rFonts w:ascii="仿宋" w:hAnsi="仿宋" w:eastAsia="仿宋"/>
          <w:b/>
          <w:bCs/>
          <w:color w:val="auto"/>
          <w:sz w:val="24"/>
        </w:rPr>
      </w:pPr>
      <w:bookmarkStart w:id="5" w:name="_Toc138238012"/>
      <w:bookmarkEnd w:id="5"/>
      <w:r>
        <w:rPr>
          <w:rFonts w:hint="eastAsia" w:ascii="仿宋" w:hAnsi="仿宋" w:eastAsia="仿宋"/>
          <w:b/>
          <w:bCs/>
          <w:color w:val="auto"/>
          <w:sz w:val="24"/>
        </w:rPr>
        <w:t>1.1.总体方案</w:t>
      </w:r>
    </w:p>
    <w:p>
      <w:pPr>
        <w:ind w:firstLine="482" w:firstLineChars="200"/>
        <w:jc w:val="left"/>
        <w:rPr>
          <w:rFonts w:ascii="仿宋" w:hAnsi="仿宋" w:eastAsia="仿宋"/>
          <w:b/>
          <w:bCs/>
          <w:color w:val="auto"/>
          <w:sz w:val="24"/>
        </w:rPr>
      </w:pPr>
      <w:bookmarkStart w:id="6" w:name="_Toc1861"/>
      <w:bookmarkEnd w:id="6"/>
      <w:bookmarkStart w:id="7" w:name="_Toc27488"/>
      <w:bookmarkEnd w:id="7"/>
      <w:r>
        <w:rPr>
          <w:rFonts w:hint="eastAsia" w:ascii="仿宋" w:hAnsi="仿宋" w:eastAsia="仿宋"/>
          <w:b/>
          <w:bCs/>
          <w:color w:val="auto"/>
          <w:sz w:val="24"/>
        </w:rPr>
        <w:t>1.1.1.整体架构</w:t>
      </w:r>
    </w:p>
    <w:p>
      <w:pPr>
        <w:ind w:firstLine="480" w:firstLineChars="200"/>
        <w:jc w:val="left"/>
        <w:rPr>
          <w:rFonts w:ascii="仿宋" w:hAnsi="仿宋" w:eastAsia="仿宋"/>
          <w:color w:val="auto"/>
          <w:sz w:val="24"/>
        </w:rPr>
      </w:pPr>
    </w:p>
    <w:p>
      <w:pPr>
        <w:rPr>
          <w:rFonts w:ascii="宋体" w:hAnsi="宋体" w:cs="宋体"/>
          <w:color w:val="auto"/>
        </w:rPr>
      </w:pPr>
      <w:r>
        <w:rPr>
          <w:rFonts w:hint="eastAsia" w:ascii="宋体" w:hAnsi="宋体" w:cs="宋体"/>
          <w:color w:val="auto"/>
        </w:rPr>
        <w:drawing>
          <wp:inline distT="0" distB="0" distL="114300" distR="114300">
            <wp:extent cx="5270500" cy="2839720"/>
            <wp:effectExtent l="0" t="0" r="6350" b="177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270500" cy="2839720"/>
                    </a:xfrm>
                    <a:prstGeom prst="rect">
                      <a:avLst/>
                    </a:prstGeom>
                    <a:ln w="12700">
                      <a:noFill/>
                    </a:ln>
                  </pic:spPr>
                </pic:pic>
              </a:graphicData>
            </a:graphic>
          </wp:inline>
        </w:drawing>
      </w:r>
    </w:p>
    <w:p>
      <w:pPr>
        <w:rPr>
          <w:rFonts w:ascii="宋体" w:hAnsi="宋体" w:cs="宋体"/>
          <w:color w:val="auto"/>
        </w:rPr>
      </w:pPr>
    </w:p>
    <w:p>
      <w:pPr>
        <w:ind w:firstLine="482" w:firstLineChars="200"/>
        <w:jc w:val="left"/>
        <w:rPr>
          <w:rFonts w:ascii="仿宋" w:hAnsi="仿宋" w:eastAsia="仿宋"/>
          <w:b/>
          <w:bCs/>
          <w:color w:val="auto"/>
          <w:sz w:val="24"/>
        </w:rPr>
      </w:pPr>
      <w:bookmarkStart w:id="8" w:name="_Toc8173"/>
      <w:bookmarkEnd w:id="8"/>
      <w:r>
        <w:rPr>
          <w:rFonts w:hint="eastAsia" w:ascii="仿宋" w:hAnsi="仿宋" w:eastAsia="仿宋"/>
          <w:b/>
          <w:bCs/>
          <w:color w:val="auto"/>
          <w:sz w:val="24"/>
        </w:rPr>
        <w:t>1.1.2.云中心架构</w:t>
      </w:r>
    </w:p>
    <w:p>
      <w:pPr>
        <w:rPr>
          <w:rFonts w:ascii="宋体" w:hAnsi="宋体" w:cs="宋体"/>
          <w:color w:val="auto"/>
        </w:rPr>
      </w:pPr>
      <w:r>
        <w:rPr>
          <w:rFonts w:hint="eastAsia" w:ascii="宋体" w:hAnsi="宋体" w:cs="宋体"/>
          <w:color w:val="auto"/>
        </w:rPr>
        <w:drawing>
          <wp:inline distT="0" distB="0" distL="114300" distR="114300">
            <wp:extent cx="5273040" cy="2948940"/>
            <wp:effectExtent l="9525" t="9525" r="13335" b="133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5273040" cy="2948940"/>
                    </a:xfrm>
                    <a:prstGeom prst="rect">
                      <a:avLst/>
                    </a:prstGeom>
                    <a:ln w="9525" cap="flat" cmpd="sng">
                      <a:solidFill>
                        <a:srgbClr val="0000FF"/>
                      </a:solidFill>
                      <a:prstDash val="solid"/>
                      <a:headEnd type="none" w="med" len="med"/>
                      <a:tailEnd type="none" w="med" len="med"/>
                    </a:ln>
                  </pic:spPr>
                </pic:pic>
              </a:graphicData>
            </a:graphic>
          </wp:inline>
        </w:drawing>
      </w:r>
    </w:p>
    <w:p>
      <w:pPr>
        <w:ind w:firstLine="482" w:firstLineChars="200"/>
        <w:jc w:val="left"/>
        <w:rPr>
          <w:rFonts w:ascii="仿宋" w:hAnsi="仿宋" w:eastAsia="仿宋"/>
          <w:b/>
          <w:bCs/>
          <w:color w:val="auto"/>
          <w:sz w:val="24"/>
        </w:rPr>
      </w:pPr>
      <w:bookmarkStart w:id="9" w:name="_Toc12190"/>
      <w:bookmarkEnd w:id="9"/>
      <w:r>
        <w:rPr>
          <w:rFonts w:hint="eastAsia" w:ascii="仿宋" w:hAnsi="仿宋" w:eastAsia="仿宋"/>
          <w:b/>
          <w:bCs/>
          <w:color w:val="auto"/>
          <w:sz w:val="24"/>
        </w:rPr>
        <w:t>1.1.3.技术架构</w:t>
      </w:r>
    </w:p>
    <w:p>
      <w:pPr>
        <w:rPr>
          <w:rFonts w:ascii="宋体" w:hAnsi="宋体" w:cs="宋体"/>
          <w:color w:val="auto"/>
        </w:rPr>
      </w:pPr>
      <w:r>
        <w:rPr>
          <w:rFonts w:hint="eastAsia" w:ascii="宋体" w:hAnsi="宋体" w:cs="宋体"/>
          <w:color w:val="auto"/>
        </w:rPr>
        <w:drawing>
          <wp:inline distT="0" distB="0" distL="114300" distR="114300">
            <wp:extent cx="5269230" cy="3224530"/>
            <wp:effectExtent l="0" t="0" r="7620"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5269230" cy="3224530"/>
                    </a:xfrm>
                    <a:prstGeom prst="rect">
                      <a:avLst/>
                    </a:prstGeom>
                    <a:ln w="12700">
                      <a:noFill/>
                    </a:ln>
                  </pic:spPr>
                </pic:pic>
              </a:graphicData>
            </a:graphic>
          </wp:inline>
        </w:drawing>
      </w:r>
    </w:p>
    <w:p>
      <w:pPr>
        <w:ind w:firstLine="482" w:firstLineChars="200"/>
        <w:jc w:val="left"/>
        <w:rPr>
          <w:rFonts w:ascii="仿宋" w:hAnsi="仿宋" w:eastAsia="仿宋"/>
          <w:b/>
          <w:bCs/>
          <w:color w:val="auto"/>
          <w:sz w:val="24"/>
        </w:rPr>
      </w:pPr>
      <w:bookmarkStart w:id="10" w:name="_Toc138238013"/>
      <w:bookmarkEnd w:id="10"/>
      <w:r>
        <w:rPr>
          <w:rFonts w:hint="eastAsia" w:ascii="仿宋" w:hAnsi="仿宋" w:eastAsia="仿宋"/>
          <w:b/>
          <w:bCs/>
          <w:color w:val="auto"/>
          <w:sz w:val="24"/>
        </w:rPr>
        <w:t>1.2.关键技术</w:t>
      </w:r>
    </w:p>
    <w:p>
      <w:pPr>
        <w:ind w:firstLine="480" w:firstLineChars="200"/>
        <w:jc w:val="left"/>
        <w:rPr>
          <w:rFonts w:ascii="仿宋" w:hAnsi="仿宋" w:eastAsia="仿宋"/>
          <w:color w:val="auto"/>
          <w:sz w:val="24"/>
        </w:rPr>
      </w:pPr>
      <w:r>
        <w:rPr>
          <w:rFonts w:hint="eastAsia" w:ascii="仿宋" w:hAnsi="仿宋" w:eastAsia="仿宋"/>
          <w:color w:val="auto"/>
          <w:sz w:val="24"/>
        </w:rPr>
        <w:t>系统基于微服务（MicroService）实现组件化成为系统设计的新选择，并得到飞速的发展和应用，在微服务架构中，通过将系统按服务组件化分解，各个服务之间通过Http等通信协议进行协作，并且各个服务都可以单独开发、部署，最终通过服务之间组合与调用对外完成系统功能。</w:t>
      </w:r>
    </w:p>
    <w:p>
      <w:pPr>
        <w:ind w:firstLine="480" w:firstLineChars="200"/>
        <w:jc w:val="left"/>
        <w:rPr>
          <w:rFonts w:ascii="仿宋" w:hAnsi="仿宋" w:eastAsia="仿宋"/>
          <w:color w:val="auto"/>
          <w:sz w:val="24"/>
        </w:rPr>
      </w:pPr>
      <w:r>
        <w:rPr>
          <w:rFonts w:hint="eastAsia" w:ascii="仿宋" w:hAnsi="仿宋" w:eastAsia="仿宋"/>
          <w:color w:val="auto"/>
          <w:sz w:val="24"/>
        </w:rPr>
        <w:t>通过 Spring Boot 构建服务组件，服务之间采用 HTTP 协议的 RESTful API 方式完成服务调用与数据交互（SON 格式），使用 Spring Cloud核心组件 Netflix完成服务组件注册管理，API 网关关封装了系统内部微服务架构，为每个服务调用者提供一个定制的 API，统一完成如身份验证、监控、负载均衡、缓存、请求分片与管理、静态响应处理，通过服务调用限流、熔断机制、负载均衡等措施，其中当微服务并发请求量大，可通过部署更多微服务实例的方法提升服务响应速度。实际应用表明：该系统在高并发客户访问的情况下，在响应迅速和稳定性等方面，较传统的单体模式的系统提升明显。</w:t>
      </w:r>
    </w:p>
    <w:p>
      <w:pPr>
        <w:ind w:firstLine="480" w:firstLineChars="200"/>
        <w:jc w:val="left"/>
        <w:rPr>
          <w:rFonts w:ascii="仿宋" w:hAnsi="仿宋" w:eastAsia="仿宋"/>
          <w:color w:val="auto"/>
          <w:sz w:val="24"/>
        </w:rPr>
      </w:pPr>
      <w:r>
        <w:rPr>
          <w:rFonts w:hint="eastAsia" w:ascii="仿宋" w:hAnsi="仿宋" w:eastAsia="仿宋"/>
          <w:color w:val="auto"/>
          <w:sz w:val="24"/>
        </w:rPr>
        <w:t>采用集中式部署方案的关键技术是单系统在大并发用户使用的时候的性能，除此之外，最核心的问题是要有完善的后备服务机制，通常这两个问题可以分别通过软件和服务器配置等的优化解决大并发用户使用，通过双机热备解决系统的可靠性问题。</w:t>
      </w:r>
    </w:p>
    <w:p>
      <w:pPr>
        <w:ind w:firstLine="480" w:firstLineChars="200"/>
        <w:jc w:val="left"/>
        <w:rPr>
          <w:rFonts w:ascii="仿宋" w:hAnsi="仿宋" w:eastAsia="仿宋"/>
          <w:color w:val="auto"/>
          <w:sz w:val="24"/>
        </w:rPr>
      </w:pPr>
      <w:r>
        <w:rPr>
          <w:rFonts w:hint="eastAsia" w:ascii="仿宋" w:hAnsi="仿宋" w:eastAsia="仿宋"/>
          <w:color w:val="auto"/>
          <w:sz w:val="24"/>
        </w:rPr>
        <w:t>采用先进的N层体系结构设计应用软件，降低系统对支持工作单一服务器的要求。采用连接池技术，进一步提高系统的运行效率，采用对象数据缓存技术，以内存换效率。大幅度的降低数据库的访问频度，大大提高了效率。</w:t>
      </w:r>
    </w:p>
    <w:p>
      <w:pPr>
        <w:pStyle w:val="21"/>
        <w:rPr>
          <w:rFonts w:hAnsi="宋体"/>
          <w:color w:val="auto"/>
        </w:rPr>
      </w:pPr>
      <w:r>
        <w:rPr>
          <w:rFonts w:hint="eastAsia" w:hAnsi="宋体"/>
          <w:color w:val="auto"/>
        </w:rPr>
        <w:drawing>
          <wp:inline distT="0" distB="0" distL="114300" distR="114300">
            <wp:extent cx="5229225" cy="3524250"/>
            <wp:effectExtent l="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5229225" cy="3524250"/>
                    </a:xfrm>
                    <a:prstGeom prst="rect">
                      <a:avLst/>
                    </a:prstGeom>
                    <a:ln w="12700">
                      <a:noFill/>
                    </a:ln>
                  </pic:spPr>
                </pic:pic>
              </a:graphicData>
            </a:graphic>
          </wp:inline>
        </w:drawing>
      </w:r>
    </w:p>
    <w:p>
      <w:pPr>
        <w:ind w:firstLine="482" w:firstLineChars="200"/>
        <w:jc w:val="left"/>
        <w:rPr>
          <w:rFonts w:ascii="仿宋" w:hAnsi="仿宋" w:eastAsia="仿宋"/>
          <w:b/>
          <w:bCs/>
          <w:color w:val="auto"/>
          <w:sz w:val="24"/>
        </w:rPr>
      </w:pPr>
      <w:bookmarkStart w:id="11" w:name="_Toc15632"/>
      <w:bookmarkEnd w:id="11"/>
      <w:bookmarkStart w:id="12" w:name="_Toc26968"/>
      <w:bookmarkEnd w:id="12"/>
      <w:bookmarkStart w:id="13" w:name="_Toc18922_WPSOffice_Level2"/>
      <w:bookmarkEnd w:id="13"/>
      <w:bookmarkStart w:id="14" w:name="_Toc138238014"/>
      <w:bookmarkEnd w:id="14"/>
      <w:bookmarkStart w:id="15" w:name="_Toc498438007"/>
      <w:r>
        <w:rPr>
          <w:rFonts w:hint="eastAsia" w:ascii="仿宋" w:hAnsi="仿宋" w:eastAsia="仿宋"/>
          <w:b/>
          <w:bCs/>
          <w:color w:val="auto"/>
          <w:sz w:val="24"/>
        </w:rPr>
        <w:t>1.3.运行环境</w:t>
      </w:r>
    </w:p>
    <w:p>
      <w:pPr>
        <w:ind w:firstLine="480" w:firstLineChars="200"/>
        <w:jc w:val="left"/>
        <w:rPr>
          <w:rFonts w:ascii="仿宋" w:hAnsi="仿宋" w:eastAsia="仿宋"/>
          <w:color w:val="auto"/>
          <w:sz w:val="24"/>
        </w:rPr>
      </w:pPr>
      <w:r>
        <w:rPr>
          <w:rFonts w:hint="eastAsia" w:ascii="仿宋" w:hAnsi="仿宋" w:eastAsia="仿宋"/>
          <w:color w:val="auto"/>
          <w:sz w:val="24"/>
        </w:rPr>
        <w:t>后台运行环境：Win 系列、Linux；</w:t>
      </w:r>
    </w:p>
    <w:p>
      <w:pPr>
        <w:ind w:firstLine="480" w:firstLineChars="200"/>
        <w:jc w:val="left"/>
        <w:rPr>
          <w:rFonts w:ascii="仿宋" w:hAnsi="仿宋" w:eastAsia="仿宋"/>
          <w:color w:val="auto"/>
          <w:sz w:val="24"/>
        </w:rPr>
      </w:pPr>
      <w:r>
        <w:rPr>
          <w:rFonts w:hint="eastAsia" w:ascii="仿宋" w:hAnsi="仿宋" w:eastAsia="仿宋"/>
          <w:color w:val="auto"/>
          <w:sz w:val="24"/>
        </w:rPr>
        <w:t>所依赖的数据库：Oracle或者MySql等；</w:t>
      </w:r>
    </w:p>
    <w:p>
      <w:pPr>
        <w:ind w:firstLine="480" w:firstLineChars="200"/>
        <w:jc w:val="left"/>
        <w:rPr>
          <w:rFonts w:ascii="仿宋" w:hAnsi="仿宋" w:eastAsia="仿宋"/>
          <w:color w:val="auto"/>
          <w:sz w:val="24"/>
        </w:rPr>
      </w:pPr>
      <w:r>
        <w:rPr>
          <w:rFonts w:hint="eastAsia" w:ascii="仿宋" w:hAnsi="仿宋" w:eastAsia="仿宋"/>
          <w:color w:val="auto"/>
          <w:sz w:val="24"/>
        </w:rPr>
        <w:t>开发工具：Java开发工具Eclipse，IntelliJ IDEA等；C#开发工具是VS2013.</w:t>
      </w:r>
    </w:p>
    <w:p>
      <w:pPr>
        <w:ind w:firstLine="480" w:firstLineChars="200"/>
        <w:jc w:val="left"/>
        <w:rPr>
          <w:rFonts w:ascii="仿宋" w:hAnsi="仿宋" w:eastAsia="仿宋"/>
          <w:color w:val="auto"/>
          <w:sz w:val="24"/>
        </w:rPr>
      </w:pPr>
      <w:r>
        <w:rPr>
          <w:rFonts w:hint="eastAsia" w:ascii="仿宋" w:hAnsi="仿宋" w:eastAsia="仿宋"/>
          <w:color w:val="auto"/>
          <w:sz w:val="24"/>
        </w:rPr>
        <w:t>APP开发技术：采用混合模式；</w:t>
      </w:r>
    </w:p>
    <w:p>
      <w:pPr>
        <w:ind w:firstLine="480" w:firstLineChars="200"/>
        <w:jc w:val="left"/>
        <w:rPr>
          <w:rFonts w:ascii="仿宋" w:hAnsi="仿宋" w:eastAsia="仿宋"/>
          <w:color w:val="auto"/>
          <w:sz w:val="24"/>
        </w:rPr>
      </w:pPr>
      <w:r>
        <w:rPr>
          <w:rFonts w:hint="eastAsia" w:ascii="仿宋" w:hAnsi="仿宋" w:eastAsia="仿宋"/>
          <w:color w:val="auto"/>
          <w:sz w:val="24"/>
        </w:rPr>
        <w:t>PC客户端：IE浏览器、360浏览器、Chrome浏览器。</w:t>
      </w:r>
    </w:p>
    <w:bookmarkEnd w:id="15"/>
    <w:p>
      <w:pPr>
        <w:ind w:firstLine="482" w:firstLineChars="200"/>
        <w:jc w:val="left"/>
        <w:rPr>
          <w:rFonts w:ascii="仿宋" w:hAnsi="仿宋" w:eastAsia="仿宋"/>
          <w:b/>
          <w:bCs/>
          <w:color w:val="auto"/>
          <w:sz w:val="24"/>
        </w:rPr>
      </w:pPr>
      <w:bookmarkStart w:id="16" w:name="_Toc23499"/>
      <w:bookmarkEnd w:id="16"/>
      <w:bookmarkStart w:id="17" w:name="_Toc138238015"/>
      <w:bookmarkEnd w:id="17"/>
      <w:r>
        <w:rPr>
          <w:rFonts w:hint="eastAsia" w:ascii="仿宋" w:hAnsi="仿宋" w:eastAsia="仿宋"/>
          <w:b/>
          <w:bCs/>
          <w:color w:val="auto"/>
          <w:sz w:val="24"/>
        </w:rPr>
        <w:t>1.4.实现目标</w:t>
      </w:r>
    </w:p>
    <w:p>
      <w:pPr>
        <w:ind w:firstLine="480" w:firstLineChars="200"/>
        <w:jc w:val="left"/>
        <w:rPr>
          <w:rFonts w:ascii="宋体" w:hAnsi="宋体" w:cs="宋体"/>
          <w:color w:val="auto"/>
        </w:rPr>
      </w:pPr>
      <w:r>
        <w:rPr>
          <w:rFonts w:hint="eastAsia" w:ascii="仿宋" w:hAnsi="仿宋" w:eastAsia="仿宋"/>
          <w:color w:val="auto"/>
          <w:sz w:val="24"/>
        </w:rPr>
        <w:t>系统设计界面简洁、框架明晰、结构科学、业务分割、流程通畅、操作容易、数据精确、灵活设置、尊重人性。权限设置灵活，以适应不同机构的权限分配功能。</w:t>
      </w:r>
    </w:p>
    <w:p>
      <w:pPr>
        <w:rPr>
          <w:rFonts w:ascii="仿宋" w:hAnsi="仿宋" w:eastAsia="仿宋" w:cs="仿宋"/>
          <w:b/>
          <w:bCs/>
          <w:color w:val="auto"/>
          <w:sz w:val="32"/>
          <w:szCs w:val="32"/>
        </w:rPr>
      </w:pPr>
      <w:bookmarkStart w:id="18" w:name="_Toc138238016"/>
      <w:bookmarkStart w:id="19" w:name="_Toc19697"/>
    </w:p>
    <w:bookmarkEnd w:id="18"/>
    <w:bookmarkEnd w:id="19"/>
    <w:p>
      <w:pPr>
        <w:ind w:firstLine="321" w:firstLineChars="100"/>
        <w:rPr>
          <w:rFonts w:ascii="仿宋" w:hAnsi="仿宋" w:eastAsia="仿宋" w:cs="仿宋"/>
          <w:b/>
          <w:bCs/>
          <w:color w:val="auto"/>
          <w:sz w:val="32"/>
          <w:szCs w:val="32"/>
        </w:rPr>
      </w:pPr>
      <w:r>
        <w:rPr>
          <w:rFonts w:hint="eastAsia" w:ascii="仿宋" w:hAnsi="仿宋" w:eastAsia="仿宋" w:cs="仿宋"/>
          <w:b/>
          <w:bCs/>
          <w:color w:val="auto"/>
          <w:sz w:val="32"/>
          <w:szCs w:val="32"/>
        </w:rPr>
        <w:t>二、建设内容</w:t>
      </w:r>
    </w:p>
    <w:p>
      <w:pPr>
        <w:ind w:firstLine="482" w:firstLineChars="200"/>
        <w:jc w:val="left"/>
        <w:rPr>
          <w:rFonts w:ascii="仿宋" w:hAnsi="仿宋" w:eastAsia="仿宋"/>
          <w:b/>
          <w:bCs/>
          <w:color w:val="auto"/>
          <w:sz w:val="24"/>
        </w:rPr>
      </w:pPr>
      <w:bookmarkStart w:id="20" w:name="_Toc138238017"/>
      <w:bookmarkEnd w:id="20"/>
      <w:r>
        <w:rPr>
          <w:rFonts w:hint="eastAsia" w:ascii="仿宋" w:hAnsi="仿宋" w:eastAsia="仿宋"/>
          <w:b/>
          <w:bCs/>
          <w:color w:val="auto"/>
          <w:sz w:val="24"/>
        </w:rPr>
        <w:t>2.1 系统设置</w:t>
      </w:r>
    </w:p>
    <w:p>
      <w:pPr>
        <w:ind w:firstLine="482" w:firstLineChars="200"/>
        <w:jc w:val="left"/>
        <w:rPr>
          <w:rFonts w:ascii="仿宋" w:hAnsi="仿宋" w:eastAsia="仿宋"/>
          <w:color w:val="auto"/>
          <w:sz w:val="24"/>
        </w:rPr>
      </w:pPr>
      <w:r>
        <w:rPr>
          <w:rFonts w:hint="eastAsia" w:ascii="仿宋" w:hAnsi="仿宋" w:eastAsia="仿宋"/>
          <w:b/>
          <w:bCs/>
          <w:color w:val="auto"/>
          <w:sz w:val="24"/>
        </w:rPr>
        <w:t>2.1.1 初始化：</w:t>
      </w:r>
      <w:r>
        <w:rPr>
          <w:rFonts w:hint="eastAsia" w:ascii="仿宋" w:hAnsi="仿宋" w:eastAsia="仿宋"/>
          <w:color w:val="auto"/>
          <w:sz w:val="24"/>
        </w:rPr>
        <w:t>设置学校名称、域名端口等。设置学校名称、域名端口、公共邮箱等。</w:t>
      </w:r>
    </w:p>
    <w:p>
      <w:pPr>
        <w:ind w:firstLine="482" w:firstLineChars="200"/>
        <w:jc w:val="left"/>
        <w:rPr>
          <w:rFonts w:ascii="仿宋" w:hAnsi="仿宋" w:eastAsia="仿宋"/>
          <w:b/>
          <w:bCs/>
          <w:color w:val="auto"/>
          <w:sz w:val="24"/>
        </w:rPr>
      </w:pPr>
      <w:r>
        <w:rPr>
          <w:rFonts w:hint="eastAsia" w:ascii="仿宋" w:hAnsi="仿宋" w:eastAsia="仿宋"/>
          <w:b/>
          <w:bCs/>
          <w:color w:val="auto"/>
          <w:sz w:val="24"/>
        </w:rPr>
        <w:t>2.1.2 基础数据</w:t>
      </w:r>
    </w:p>
    <w:p>
      <w:pPr>
        <w:ind w:firstLine="480" w:firstLineChars="200"/>
        <w:jc w:val="left"/>
        <w:rPr>
          <w:rFonts w:ascii="仿宋" w:hAnsi="仿宋" w:eastAsia="仿宋"/>
          <w:color w:val="auto"/>
          <w:sz w:val="24"/>
        </w:rPr>
      </w:pPr>
      <w:r>
        <w:rPr>
          <w:rFonts w:hint="eastAsia" w:ascii="仿宋" w:hAnsi="仿宋" w:eastAsia="仿宋"/>
          <w:color w:val="auto"/>
          <w:sz w:val="24"/>
        </w:rPr>
        <w:t>采用模块化和个性化设计，具有良好的开放性和扩展性；具备二次开发整合接口，利于后续开发功能模块的集成；前端设计方便教师和学生在校园网任意终端使用WEB浏览器进行访问；界面设计简捷、友好、清晰，易掌握与操作；后台设计保证数据安全，WEB服务通过应用服务访问数据库。</w:t>
      </w:r>
    </w:p>
    <w:p>
      <w:pPr>
        <w:ind w:firstLine="480" w:firstLineChars="200"/>
        <w:jc w:val="left"/>
        <w:rPr>
          <w:rFonts w:ascii="仿宋" w:hAnsi="仿宋" w:eastAsia="仿宋"/>
          <w:color w:val="auto"/>
          <w:sz w:val="24"/>
        </w:rPr>
      </w:pPr>
      <w:r>
        <w:rPr>
          <w:rFonts w:hint="eastAsia" w:ascii="仿宋" w:hAnsi="仿宋" w:eastAsia="仿宋"/>
          <w:color w:val="auto"/>
          <w:sz w:val="24"/>
        </w:rPr>
        <w:t>基于B/S架构和三层结构等成熟框架开发，能够完全兼容windows、Linux等系统环境；采用成熟稳定的SQL、Oracle等大型数据库进行后台数据处理，支持与异种数据库之间数据的平滑移植，方便数据的导入、导出；应用逻辑与数据展现独立分离，在集成、交换、应用、展现等方面具有良好的开放性；</w:t>
      </w:r>
    </w:p>
    <w:p>
      <w:pPr>
        <w:ind w:firstLine="482" w:firstLineChars="200"/>
        <w:jc w:val="left"/>
        <w:rPr>
          <w:rFonts w:ascii="仿宋" w:hAnsi="仿宋" w:eastAsia="仿宋"/>
          <w:b/>
          <w:bCs/>
          <w:color w:val="auto"/>
          <w:sz w:val="24"/>
        </w:rPr>
      </w:pPr>
      <w:r>
        <w:rPr>
          <w:rFonts w:hint="eastAsia" w:ascii="仿宋" w:hAnsi="仿宋" w:eastAsia="仿宋"/>
          <w:b/>
          <w:bCs/>
          <w:color w:val="auto"/>
          <w:sz w:val="24"/>
        </w:rPr>
        <w:t>2.1.3 角色管理</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在学校现有的组织架构基础上可增加或导入实验室相关角色架构管理。（包含超级管理员/分管院领导/实验中心主任/实验秘书/ 实验室管理员/勤工俭学学生/任课教师/学生）。</w:t>
      </w:r>
    </w:p>
    <w:p>
      <w:pPr>
        <w:ind w:firstLine="480" w:firstLineChars="200"/>
        <w:jc w:val="left"/>
        <w:rPr>
          <w:rFonts w:ascii="仿宋" w:hAnsi="仿宋" w:eastAsia="仿宋"/>
          <w:color w:val="auto"/>
          <w:sz w:val="24"/>
        </w:rPr>
      </w:pPr>
      <w:r>
        <w:rPr>
          <w:rFonts w:hint="eastAsia" w:ascii="仿宋" w:hAnsi="仿宋" w:eastAsia="仿宋"/>
          <w:color w:val="auto"/>
          <w:sz w:val="24"/>
        </w:rPr>
        <w:t>（1）系统预留接口二期可与教务系统、人事系统对接，可直接同步学校组织架构、部门信息。</w:t>
      </w:r>
    </w:p>
    <w:p>
      <w:pPr>
        <w:ind w:firstLine="480" w:firstLineChars="200"/>
        <w:rPr>
          <w:rFonts w:ascii="仿宋" w:hAnsi="仿宋" w:eastAsia="仿宋" w:cs="仿宋"/>
          <w:color w:val="auto"/>
          <w:sz w:val="24"/>
        </w:rPr>
      </w:pPr>
      <w:r>
        <w:rPr>
          <w:rFonts w:hint="eastAsia" w:ascii="仿宋" w:hAnsi="仿宋" w:eastAsia="仿宋" w:cs="仿宋"/>
          <w:color w:val="auto"/>
          <w:sz w:val="24"/>
        </w:rPr>
        <w:t>（2）可对相关人员、职位进行深入管理。</w:t>
      </w:r>
    </w:p>
    <w:p>
      <w:pPr>
        <w:ind w:firstLine="480" w:firstLineChars="200"/>
        <w:rPr>
          <w:rFonts w:ascii="仿宋" w:hAnsi="仿宋" w:eastAsia="仿宋" w:cs="仿宋"/>
          <w:color w:val="auto"/>
          <w:sz w:val="24"/>
        </w:rPr>
      </w:pPr>
      <w:r>
        <w:rPr>
          <w:rFonts w:hint="eastAsia" w:ascii="仿宋" w:hAnsi="仿宋" w:eastAsia="仿宋" w:cs="仿宋"/>
          <w:color w:val="auto"/>
          <w:sz w:val="24"/>
        </w:rPr>
        <w:t>（3）进行后台管理直接查看用户列表，选择相关角色进行激活以及修改其相关内容信息、重置密码等操作。</w:t>
      </w:r>
    </w:p>
    <w:p>
      <w:pPr>
        <w:ind w:firstLine="480" w:firstLineChars="200"/>
        <w:rPr>
          <w:rFonts w:ascii="仿宋" w:hAnsi="仿宋" w:eastAsia="仿宋" w:cs="仿宋"/>
          <w:color w:val="auto"/>
          <w:sz w:val="24"/>
        </w:rPr>
      </w:pPr>
      <w:r>
        <w:rPr>
          <w:rFonts w:hint="eastAsia" w:ascii="仿宋" w:hAnsi="仿宋" w:eastAsia="仿宋" w:cs="仿宋"/>
          <w:color w:val="auto"/>
          <w:sz w:val="24"/>
        </w:rPr>
        <w:t>（4）对角色进行分类、分配。</w:t>
      </w:r>
    </w:p>
    <w:p>
      <w:pPr>
        <w:pStyle w:val="22"/>
        <w:rPr>
          <w:rFonts w:ascii="仿宋" w:hAnsi="仿宋" w:eastAsia="仿宋" w:cs="仿宋"/>
          <w:color w:val="auto"/>
          <w:sz w:val="24"/>
          <w:szCs w:val="24"/>
        </w:rPr>
      </w:pPr>
    </w:p>
    <w:p>
      <w:pPr>
        <w:ind w:firstLine="482" w:firstLineChars="200"/>
        <w:rPr>
          <w:rFonts w:ascii="仿宋" w:hAnsi="仿宋" w:eastAsia="仿宋" w:cs="仿宋"/>
          <w:b/>
          <w:bCs/>
          <w:color w:val="auto"/>
          <w:sz w:val="24"/>
        </w:rPr>
      </w:pPr>
      <w:r>
        <w:rPr>
          <w:rFonts w:hint="eastAsia" w:ascii="仿宋" w:hAnsi="仿宋" w:eastAsia="仿宋" w:cs="仿宋"/>
          <w:b/>
          <w:bCs/>
          <w:color w:val="auto"/>
          <w:sz w:val="24"/>
        </w:rPr>
        <w:t>2.1.4 使用权限</w:t>
      </w:r>
    </w:p>
    <w:p>
      <w:pPr>
        <w:ind w:firstLine="480" w:firstLineChars="200"/>
        <w:rPr>
          <w:rFonts w:ascii="仿宋" w:hAnsi="仿宋" w:eastAsia="仿宋" w:cs="仿宋"/>
          <w:color w:val="auto"/>
          <w:sz w:val="24"/>
        </w:rPr>
      </w:pPr>
      <w:r>
        <w:rPr>
          <w:rFonts w:hint="eastAsia" w:ascii="仿宋" w:hAnsi="仿宋" w:eastAsia="仿宋" w:cs="仿宋"/>
          <w:color w:val="auto"/>
          <w:sz w:val="24"/>
        </w:rPr>
        <w:t>采用多级角色管理，不同角色赋予不同的管理权限，相同角色可以按职责进行权限的细化设置，自动生成登录日志。</w:t>
      </w:r>
    </w:p>
    <w:p>
      <w:pPr>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）当学校组织架构进行调整，涉及到角色的重新管理，管理员可对角色进行修改、进行重新配置。</w:t>
      </w:r>
    </w:p>
    <w:p>
      <w:pPr>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）可根据需要进行角色人员的重新配置、添加、移出以及数据导出</w:t>
      </w:r>
    </w:p>
    <w:p>
      <w:pPr>
        <w:pStyle w:val="37"/>
        <w:ind w:left="0" w:firstLine="0"/>
        <w:rPr>
          <w:rFonts w:ascii="仿宋" w:hAnsi="仿宋" w:eastAsia="仿宋" w:cs="仿宋"/>
          <w:color w:val="auto"/>
          <w:sz w:val="24"/>
          <w:szCs w:val="24"/>
          <w:lang w:val="en-US"/>
        </w:rPr>
      </w:pPr>
    </w:p>
    <w:p>
      <w:pPr>
        <w:pStyle w:val="37"/>
        <w:ind w:left="0" w:firstLine="482" w:firstLineChars="200"/>
        <w:rPr>
          <w:rFonts w:ascii="仿宋" w:hAnsi="仿宋" w:eastAsia="仿宋" w:cs="仿宋"/>
          <w:b/>
          <w:bCs/>
          <w:color w:val="auto"/>
          <w:sz w:val="24"/>
          <w:szCs w:val="24"/>
          <w:lang w:val="en-US" w:bidi="ar-SA"/>
        </w:rPr>
      </w:pPr>
      <w:r>
        <w:rPr>
          <w:rFonts w:hint="eastAsia" w:ascii="仿宋" w:hAnsi="仿宋" w:eastAsia="仿宋" w:cs="仿宋"/>
          <w:b/>
          <w:bCs/>
          <w:color w:val="auto"/>
          <w:sz w:val="24"/>
          <w:szCs w:val="24"/>
          <w:lang w:val="en-US" w:bidi="ar-SA"/>
        </w:rPr>
        <w:t>2.1.5 系统日志</w:t>
      </w:r>
    </w:p>
    <w:p>
      <w:pPr>
        <w:ind w:firstLine="480" w:firstLineChars="200"/>
        <w:rPr>
          <w:rFonts w:ascii="仿宋" w:hAnsi="仿宋" w:eastAsia="仿宋" w:cs="仿宋"/>
          <w:color w:val="auto"/>
          <w:sz w:val="24"/>
        </w:rPr>
      </w:pPr>
      <w:r>
        <w:rPr>
          <w:rFonts w:hint="eastAsia" w:ascii="仿宋" w:hAnsi="仿宋" w:eastAsia="仿宋" w:cs="仿宋"/>
          <w:color w:val="auto"/>
          <w:sz w:val="24"/>
        </w:rPr>
        <w:t>根据不同权限展现相关管理日志（记录系统操作使用的日志情况）。</w:t>
      </w:r>
    </w:p>
    <w:p>
      <w:pPr>
        <w:ind w:firstLine="480" w:firstLineChars="200"/>
        <w:rPr>
          <w:rFonts w:ascii="仿宋" w:hAnsi="仿宋" w:eastAsia="仿宋" w:cs="仿宋"/>
          <w:color w:val="auto"/>
          <w:sz w:val="24"/>
        </w:rPr>
      </w:pPr>
      <w:r>
        <w:rPr>
          <w:rFonts w:hint="eastAsia" w:ascii="仿宋" w:hAnsi="仿宋" w:eastAsia="仿宋" w:cs="仿宋"/>
          <w:color w:val="auto"/>
          <w:sz w:val="24"/>
        </w:rPr>
        <w:t>概述：系统记录所有用户在系统上的操作行为。</w:t>
      </w:r>
    </w:p>
    <w:p>
      <w:pPr>
        <w:numPr>
          <w:ilvl w:val="-1"/>
          <w:numId w:val="0"/>
        </w:numPr>
        <w:spacing w:line="360" w:lineRule="atLeast"/>
        <w:ind w:firstLine="264" w:firstLineChars="100"/>
        <w:rPr>
          <w:rFonts w:ascii="仿宋" w:hAnsi="仿宋" w:eastAsia="仿宋" w:cs="仿宋"/>
          <w:color w:val="auto"/>
          <w:spacing w:val="12"/>
          <w:sz w:val="24"/>
        </w:rPr>
      </w:pPr>
      <w:r>
        <w:rPr>
          <w:rFonts w:hint="eastAsia" w:ascii="仿宋" w:hAnsi="仿宋" w:eastAsia="仿宋" w:cs="仿宋"/>
          <w:color w:val="auto"/>
          <w:spacing w:val="12"/>
          <w:sz w:val="24"/>
          <w:lang w:eastAsia="zh-CN"/>
        </w:rPr>
        <w:t>（</w:t>
      </w:r>
      <w:r>
        <w:rPr>
          <w:rFonts w:hint="eastAsia" w:ascii="仿宋" w:hAnsi="仿宋" w:eastAsia="仿宋" w:cs="仿宋"/>
          <w:color w:val="auto"/>
          <w:spacing w:val="12"/>
          <w:sz w:val="24"/>
          <w:lang w:val="en-US" w:eastAsia="zh-CN"/>
        </w:rPr>
        <w:t>1</w:t>
      </w:r>
      <w:r>
        <w:rPr>
          <w:rFonts w:hint="eastAsia" w:ascii="仿宋" w:hAnsi="仿宋" w:eastAsia="仿宋" w:cs="仿宋"/>
          <w:color w:val="auto"/>
          <w:spacing w:val="12"/>
          <w:sz w:val="24"/>
          <w:lang w:eastAsia="zh-CN"/>
        </w:rPr>
        <w:t>）</w:t>
      </w:r>
      <w:r>
        <w:rPr>
          <w:rFonts w:hint="eastAsia" w:ascii="仿宋" w:hAnsi="仿宋" w:eastAsia="仿宋" w:cs="仿宋"/>
          <w:color w:val="auto"/>
          <w:spacing w:val="12"/>
          <w:sz w:val="24"/>
        </w:rPr>
        <w:t>管理员在后台可查看所有用户的登录日志，也可清空日志。</w:t>
      </w:r>
    </w:p>
    <w:p>
      <w:pPr>
        <w:numPr>
          <w:ilvl w:val="-1"/>
          <w:numId w:val="0"/>
        </w:numPr>
        <w:ind w:firstLine="240" w:firstLineChars="10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根据不同类型，查看不同日志。</w:t>
      </w:r>
    </w:p>
    <w:p>
      <w:pPr>
        <w:numPr>
          <w:ilvl w:val="-1"/>
          <w:numId w:val="0"/>
        </w:numPr>
        <w:spacing w:line="360" w:lineRule="atLeast"/>
        <w:ind w:firstLine="264" w:firstLineChars="100"/>
        <w:rPr>
          <w:rFonts w:ascii="仿宋" w:hAnsi="仿宋" w:eastAsia="仿宋" w:cs="仿宋"/>
          <w:color w:val="auto"/>
          <w:spacing w:val="12"/>
          <w:sz w:val="24"/>
        </w:rPr>
      </w:pPr>
      <w:r>
        <w:rPr>
          <w:rFonts w:hint="eastAsia" w:ascii="仿宋" w:hAnsi="仿宋" w:eastAsia="仿宋" w:cs="仿宋"/>
          <w:color w:val="auto"/>
          <w:spacing w:val="12"/>
          <w:sz w:val="24"/>
          <w:lang w:eastAsia="zh-CN"/>
        </w:rPr>
        <w:t>（</w:t>
      </w:r>
      <w:r>
        <w:rPr>
          <w:rFonts w:hint="eastAsia" w:ascii="仿宋" w:hAnsi="仿宋" w:eastAsia="仿宋" w:cs="仿宋"/>
          <w:color w:val="auto"/>
          <w:spacing w:val="12"/>
          <w:sz w:val="24"/>
          <w:lang w:val="en-US" w:eastAsia="zh-CN"/>
        </w:rPr>
        <w:t>3</w:t>
      </w:r>
      <w:r>
        <w:rPr>
          <w:rFonts w:hint="eastAsia" w:ascii="仿宋" w:hAnsi="仿宋" w:eastAsia="仿宋" w:cs="仿宋"/>
          <w:color w:val="auto"/>
          <w:spacing w:val="12"/>
          <w:sz w:val="24"/>
          <w:lang w:eastAsia="zh-CN"/>
        </w:rPr>
        <w:t>）</w:t>
      </w:r>
      <w:r>
        <w:rPr>
          <w:rFonts w:hint="eastAsia" w:ascii="仿宋" w:hAnsi="仿宋" w:eastAsia="仿宋" w:cs="仿宋"/>
          <w:color w:val="auto"/>
          <w:spacing w:val="12"/>
          <w:sz w:val="24"/>
        </w:rPr>
        <w:t>前台用户在个人设置中，点击操作日志栏目，进入操作日志列表页面。</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日志时间：用户在进行内容操作时的时间；</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操作类型：用户操作内容所属二级栏目</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操作人员：用户进行操作内容时的登录账号</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内容：涉及到新增，修改，删除，导入，导出，等操作的内容需要记录，其他账号登录登出和查看等一系列操作不需要记录</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输入查询：模糊匹配内容字段信息</w:t>
      </w:r>
    </w:p>
    <w:p>
      <w:pPr>
        <w:spacing w:line="360" w:lineRule="atLeast"/>
        <w:ind w:firstLine="528" w:firstLineChars="200"/>
        <w:rPr>
          <w:rFonts w:ascii="仿宋" w:hAnsi="仿宋" w:eastAsia="仿宋" w:cs="仿宋"/>
          <w:color w:val="auto"/>
          <w:spacing w:val="12"/>
          <w:sz w:val="24"/>
        </w:rPr>
      </w:pPr>
      <w:r>
        <w:rPr>
          <w:rFonts w:hint="eastAsia" w:ascii="仿宋" w:hAnsi="仿宋" w:eastAsia="仿宋" w:cs="仿宋"/>
          <w:color w:val="auto"/>
          <w:spacing w:val="12"/>
          <w:sz w:val="24"/>
        </w:rPr>
        <w:t>操作类型：选项值为当前列表页覆盖的二级栏目</w:t>
      </w:r>
    </w:p>
    <w:p>
      <w:pPr>
        <w:pStyle w:val="37"/>
        <w:ind w:left="0" w:firstLine="0"/>
        <w:rPr>
          <w:rFonts w:ascii="仿宋" w:hAnsi="仿宋" w:eastAsia="仿宋" w:cs="仿宋"/>
          <w:color w:val="auto"/>
          <w:sz w:val="24"/>
          <w:szCs w:val="24"/>
          <w:lang w:val="en-US" w:bidi="ar-SA"/>
        </w:rPr>
      </w:pPr>
    </w:p>
    <w:p>
      <w:pPr>
        <w:ind w:firstLine="482" w:firstLineChars="200"/>
        <w:outlineLvl w:val="1"/>
        <w:rPr>
          <w:rFonts w:ascii="仿宋" w:hAnsi="仿宋" w:eastAsia="仿宋" w:cs="仿宋"/>
          <w:b/>
          <w:bCs/>
          <w:color w:val="auto"/>
          <w:sz w:val="24"/>
        </w:rPr>
      </w:pPr>
      <w:bookmarkStart w:id="21" w:name="_Toc138238018"/>
      <w:bookmarkEnd w:id="21"/>
      <w:r>
        <w:rPr>
          <w:rFonts w:hint="eastAsia" w:ascii="仿宋" w:hAnsi="仿宋" w:eastAsia="仿宋" w:cs="仿宋"/>
          <w:b/>
          <w:bCs/>
          <w:color w:val="auto"/>
          <w:sz w:val="24"/>
        </w:rPr>
        <w:t>2.2 信息交互管理</w:t>
      </w:r>
    </w:p>
    <w:p>
      <w:pPr>
        <w:pStyle w:val="37"/>
        <w:ind w:left="0" w:firstLine="482" w:firstLineChars="200"/>
        <w:rPr>
          <w:rFonts w:ascii="仿宋" w:hAnsi="仿宋" w:eastAsia="仿宋" w:cs="仿宋"/>
          <w:b/>
          <w:bCs/>
          <w:color w:val="auto"/>
          <w:sz w:val="24"/>
          <w:szCs w:val="24"/>
          <w:lang w:val="en-US" w:bidi="ar-SA"/>
        </w:rPr>
      </w:pPr>
      <w:r>
        <w:rPr>
          <w:rFonts w:hint="eastAsia" w:ascii="仿宋" w:hAnsi="仿宋" w:eastAsia="仿宋" w:cs="仿宋"/>
          <w:b/>
          <w:bCs/>
          <w:color w:val="auto"/>
          <w:sz w:val="24"/>
          <w:szCs w:val="24"/>
          <w:lang w:val="en-US" w:bidi="ar-SA"/>
        </w:rPr>
        <w:t>2.2.1 通知公告</w:t>
      </w:r>
    </w:p>
    <w:p>
      <w:pPr>
        <w:pStyle w:val="37"/>
        <w:spacing w:line="360" w:lineRule="auto"/>
        <w:ind w:left="0" w:firstLineChars="200"/>
        <w:rPr>
          <w:rFonts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可管理和发布平台通知公告、新闻、互动交流、规章制度等信息。</w:t>
      </w:r>
    </w:p>
    <w:p>
      <w:pPr>
        <w:spacing w:line="360" w:lineRule="auto"/>
        <w:ind w:firstLine="480" w:firstLineChars="200"/>
        <w:rPr>
          <w:rFonts w:ascii="仿宋" w:hAnsi="仿宋" w:eastAsia="仿宋" w:cs="仿宋"/>
          <w:color w:val="auto"/>
          <w:spacing w:val="12"/>
          <w:sz w:val="24"/>
        </w:rPr>
      </w:pPr>
      <w:r>
        <w:rPr>
          <w:rFonts w:hint="eastAsia" w:ascii="仿宋" w:hAnsi="仿宋" w:eastAsia="仿宋" w:cs="仿宋"/>
          <w:color w:val="auto"/>
          <w:sz w:val="24"/>
        </w:rPr>
        <w:t>概述：</w:t>
      </w:r>
      <w:r>
        <w:rPr>
          <w:rFonts w:hint="eastAsia" w:ascii="仿宋" w:hAnsi="仿宋" w:eastAsia="仿宋" w:cs="仿宋"/>
          <w:color w:val="auto"/>
          <w:spacing w:val="12"/>
          <w:sz w:val="24"/>
        </w:rPr>
        <w:t>系统记录所有用户在系统上的操作行为。</w:t>
      </w:r>
    </w:p>
    <w:p>
      <w:pPr>
        <w:spacing w:line="360" w:lineRule="atLeast"/>
        <w:ind w:firstLine="264" w:firstLineChars="100"/>
        <w:rPr>
          <w:rFonts w:ascii="仿宋" w:hAnsi="仿宋" w:eastAsia="仿宋" w:cs="仿宋"/>
          <w:color w:val="auto"/>
          <w:spacing w:val="12"/>
          <w:sz w:val="24"/>
        </w:rPr>
      </w:pPr>
      <w:r>
        <w:rPr>
          <w:rFonts w:hint="eastAsia" w:ascii="仿宋" w:hAnsi="仿宋" w:eastAsia="仿宋" w:cs="仿宋"/>
          <w:color w:val="auto"/>
          <w:spacing w:val="12"/>
          <w:sz w:val="24"/>
        </w:rPr>
        <w:t>（1）管理员可在后台进行通知管理，可进行公告内容编辑等。</w:t>
      </w:r>
    </w:p>
    <w:p>
      <w:pPr>
        <w:ind w:firstLine="240" w:firstLineChars="100"/>
        <w:rPr>
          <w:rFonts w:ascii="仿宋" w:hAnsi="仿宋" w:eastAsia="仿宋" w:cs="仿宋"/>
          <w:color w:val="auto"/>
          <w:sz w:val="24"/>
        </w:rPr>
      </w:pPr>
      <w:r>
        <w:rPr>
          <w:rFonts w:hint="eastAsia" w:ascii="仿宋" w:hAnsi="仿宋" w:eastAsia="仿宋" w:cs="仿宋"/>
          <w:color w:val="auto"/>
          <w:sz w:val="24"/>
        </w:rPr>
        <w:t>（2）添加通知公告，管理/选择通知类型，也可添加文章链接，输入相关内容、简介，并对通知公告进行排序。</w:t>
      </w:r>
    </w:p>
    <w:p>
      <w:pPr>
        <w:pStyle w:val="37"/>
        <w:ind w:left="0" w:firstLine="0"/>
        <w:rPr>
          <w:rFonts w:ascii="仿宋" w:hAnsi="仿宋" w:eastAsia="仿宋" w:cs="仿宋"/>
          <w:color w:val="auto"/>
          <w:sz w:val="24"/>
          <w:szCs w:val="24"/>
          <w:lang w:val="en-US" w:bidi="ar-SA"/>
        </w:rPr>
      </w:pPr>
    </w:p>
    <w:p>
      <w:pPr>
        <w:pStyle w:val="37"/>
        <w:ind w:left="0" w:firstLine="482" w:firstLineChars="200"/>
        <w:rPr>
          <w:rFonts w:ascii="仿宋" w:hAnsi="仿宋" w:eastAsia="仿宋" w:cs="仿宋"/>
          <w:b/>
          <w:bCs/>
          <w:color w:val="auto"/>
          <w:sz w:val="24"/>
          <w:szCs w:val="24"/>
          <w:lang w:val="en-US" w:bidi="ar-SA"/>
        </w:rPr>
      </w:pPr>
      <w:r>
        <w:rPr>
          <w:rFonts w:hint="eastAsia" w:ascii="仿宋" w:hAnsi="仿宋" w:eastAsia="仿宋" w:cs="仿宋"/>
          <w:b/>
          <w:bCs/>
          <w:color w:val="auto"/>
          <w:sz w:val="24"/>
          <w:szCs w:val="24"/>
          <w:lang w:val="en-US" w:bidi="ar-SA"/>
        </w:rPr>
        <w:t>2.2.2 用户中心</w:t>
      </w:r>
    </w:p>
    <w:p>
      <w:pPr>
        <w:pStyle w:val="37"/>
        <w:spacing w:line="360" w:lineRule="auto"/>
        <w:ind w:left="0" w:firstLineChars="200"/>
        <w:rPr>
          <w:rFonts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用户登录入口，与个人用户相关的一些数据仓库。（不同角色登录人员的相关信息、预警/推送信息等。）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用户中心可实现个人信息及历史使用记录的查询。</w:t>
      </w:r>
    </w:p>
    <w:p>
      <w:pPr>
        <w:pStyle w:val="37"/>
        <w:ind w:left="0" w:firstLine="0"/>
        <w:rPr>
          <w:rFonts w:ascii="仿宋" w:hAnsi="仿宋" w:eastAsia="仿宋" w:cs="仿宋"/>
          <w:color w:val="auto"/>
          <w:sz w:val="24"/>
          <w:szCs w:val="24"/>
          <w:lang w:val="en-US" w:bidi="ar-SA"/>
        </w:rPr>
      </w:pPr>
    </w:p>
    <w:p>
      <w:pPr>
        <w:pStyle w:val="37"/>
        <w:ind w:left="0" w:firstLine="482" w:firstLineChars="200"/>
        <w:rPr>
          <w:rFonts w:ascii="仿宋" w:hAnsi="仿宋" w:eastAsia="仿宋" w:cs="仿宋"/>
          <w:b/>
          <w:bCs/>
          <w:color w:val="auto"/>
          <w:sz w:val="24"/>
          <w:szCs w:val="24"/>
          <w:lang w:val="en-US" w:bidi="ar-SA"/>
        </w:rPr>
      </w:pPr>
      <w:r>
        <w:rPr>
          <w:rFonts w:hint="eastAsia" w:ascii="仿宋" w:hAnsi="仿宋" w:eastAsia="仿宋" w:cs="仿宋"/>
          <w:b/>
          <w:bCs/>
          <w:color w:val="auto"/>
          <w:sz w:val="24"/>
          <w:szCs w:val="24"/>
          <w:lang w:val="en-US" w:bidi="ar-SA"/>
        </w:rPr>
        <w:t>2.2.3 实验课表</w:t>
      </w:r>
    </w:p>
    <w:p>
      <w:pPr>
        <w:pStyle w:val="37"/>
        <w:spacing w:line="360" w:lineRule="auto"/>
        <w:ind w:left="0" w:firstLine="480" w:firstLineChars="200"/>
        <w:rPr>
          <w:rFonts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可导入相应课表</w:t>
      </w:r>
    </w:p>
    <w:p>
      <w:pPr>
        <w:pStyle w:val="37"/>
        <w:spacing w:line="360" w:lineRule="auto"/>
        <w:ind w:left="0" w:firstLine="240" w:firstLineChars="100"/>
        <w:rPr>
          <w:rFonts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（1）实验中心教学安排表：实践教学进度表。</w:t>
      </w:r>
    </w:p>
    <w:p>
      <w:pPr>
        <w:pStyle w:val="37"/>
        <w:spacing w:line="360" w:lineRule="auto"/>
        <w:ind w:left="0" w:firstLine="240" w:firstLineChars="100"/>
        <w:rPr>
          <w:rFonts w:ascii="仿宋" w:hAnsi="仿宋" w:eastAsia="仿宋" w:cs="仿宋"/>
          <w:color w:val="auto"/>
          <w:sz w:val="24"/>
          <w:szCs w:val="24"/>
          <w:lang w:val="en-US" w:bidi="ar-SA"/>
        </w:rPr>
      </w:pPr>
      <w:r>
        <w:rPr>
          <w:rFonts w:hint="eastAsia" w:ascii="仿宋" w:hAnsi="仿宋" w:eastAsia="仿宋" w:cs="仿宋"/>
          <w:color w:val="auto"/>
          <w:sz w:val="24"/>
          <w:szCs w:val="24"/>
          <w:lang w:val="en-US" w:bidi="ar-SA"/>
        </w:rPr>
        <w:t>（2）我的课表：教师课表/学生课表。</w:t>
      </w:r>
    </w:p>
    <w:p>
      <w:pPr>
        <w:pStyle w:val="37"/>
        <w:ind w:left="0" w:firstLine="241" w:firstLineChars="100"/>
        <w:rPr>
          <w:rFonts w:ascii="仿宋" w:hAnsi="仿宋" w:eastAsia="仿宋" w:cs="仿宋"/>
          <w:b/>
          <w:bCs/>
          <w:color w:val="auto"/>
          <w:sz w:val="24"/>
          <w:szCs w:val="24"/>
          <w:lang w:val="en-US" w:bidi="ar-SA"/>
        </w:rPr>
      </w:pPr>
      <w:r>
        <w:rPr>
          <w:rFonts w:hint="eastAsia" w:ascii="仿宋" w:hAnsi="仿宋" w:eastAsia="仿宋" w:cs="仿宋"/>
          <w:b/>
          <w:bCs/>
          <w:color w:val="auto"/>
          <w:sz w:val="24"/>
          <w:szCs w:val="24"/>
          <w:lang w:val="en-US" w:bidi="ar-SA"/>
        </w:rPr>
        <w:t>2.2.4 信息查询</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（1）用户登录统一身份认证，系统根据其角色及匹配的功能模块，角色权限展示其相关的更新信息（包括手机号码、所属院校、所属专业、班级名称等）个人信息及历史使用记录的查询</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（2）查询用户预约记录与审批结果查询；（预约相关信息：时间、实验室、实验设备等）</w:t>
      </w:r>
    </w:p>
    <w:p>
      <w:pPr>
        <w:pStyle w:val="37"/>
        <w:ind w:left="0" w:firstLine="0"/>
        <w:rPr>
          <w:rFonts w:ascii="仿宋" w:hAnsi="仿宋" w:eastAsia="仿宋" w:cs="仿宋"/>
          <w:color w:val="auto"/>
          <w:sz w:val="24"/>
          <w:szCs w:val="24"/>
        </w:rPr>
      </w:pPr>
    </w:p>
    <w:p>
      <w:pPr>
        <w:ind w:firstLine="482" w:firstLineChars="200"/>
        <w:outlineLvl w:val="1"/>
        <w:rPr>
          <w:rFonts w:ascii="仿宋" w:hAnsi="仿宋" w:eastAsia="仿宋" w:cs="仿宋"/>
          <w:b/>
          <w:bCs/>
          <w:color w:val="auto"/>
          <w:sz w:val="24"/>
        </w:rPr>
      </w:pPr>
      <w:bookmarkStart w:id="22" w:name="_Toc138238019"/>
      <w:bookmarkEnd w:id="22"/>
      <w:r>
        <w:rPr>
          <w:rFonts w:hint="eastAsia" w:ascii="仿宋" w:hAnsi="仿宋" w:eastAsia="仿宋" w:cs="仿宋"/>
          <w:b/>
          <w:bCs/>
          <w:color w:val="auto"/>
          <w:sz w:val="24"/>
        </w:rPr>
        <w:t>2.3 数据接口管理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可与学校统一身份认证同步无缝对接，预留二期与教务系统、校园一卡通、资产管理系统、企业微信等系统对接的接口。</w:t>
      </w:r>
    </w:p>
    <w:p>
      <w:pPr>
        <w:pStyle w:val="21"/>
        <w:spacing w:line="360" w:lineRule="auto"/>
        <w:ind w:firstLine="240" w:firstLineChars="100"/>
        <w:rPr>
          <w:rFonts w:ascii="仿宋" w:hAnsi="仿宋" w:eastAsia="仿宋" w:cs="仿宋"/>
          <w:color w:val="auto"/>
        </w:rPr>
      </w:pPr>
      <w:r>
        <w:rPr>
          <w:rFonts w:hint="eastAsia" w:ascii="仿宋" w:hAnsi="仿宋" w:eastAsia="仿宋" w:cs="仿宋"/>
          <w:color w:val="auto"/>
        </w:rPr>
        <w:t>（1）后台管理员可查看代码生成。</w:t>
      </w:r>
    </w:p>
    <w:p>
      <w:pPr>
        <w:pStyle w:val="21"/>
        <w:spacing w:line="360" w:lineRule="auto"/>
        <w:ind w:firstLine="240" w:firstLineChars="100"/>
        <w:rPr>
          <w:rFonts w:ascii="仿宋" w:hAnsi="仿宋" w:eastAsia="仿宋" w:cs="仿宋"/>
          <w:color w:val="auto"/>
        </w:rPr>
      </w:pPr>
      <w:r>
        <w:rPr>
          <w:rFonts w:hint="eastAsia" w:ascii="仿宋" w:hAnsi="仿宋" w:eastAsia="仿宋" w:cs="仿宋"/>
          <w:color w:val="auto"/>
        </w:rPr>
        <w:t>（2）系统预留二期对于每个不同系统提供的接口文档。</w:t>
      </w:r>
    </w:p>
    <w:p>
      <w:pPr>
        <w:pStyle w:val="21"/>
        <w:spacing w:line="360" w:lineRule="auto"/>
        <w:ind w:firstLine="240" w:firstLineChars="100"/>
        <w:rPr>
          <w:rFonts w:ascii="仿宋" w:hAnsi="仿宋" w:eastAsia="仿宋" w:cs="仿宋"/>
          <w:color w:val="auto"/>
        </w:rPr>
      </w:pPr>
      <w:r>
        <w:rPr>
          <w:rFonts w:hint="eastAsia" w:ascii="仿宋" w:hAnsi="仿宋" w:eastAsia="仿宋" w:cs="仿宋"/>
          <w:color w:val="auto"/>
        </w:rPr>
        <w:t>（3）系统预留二期对于不同接口产生不同参数配置的功能，进而可进行相关修改。</w:t>
      </w:r>
    </w:p>
    <w:p>
      <w:pPr>
        <w:rPr>
          <w:rFonts w:ascii="仿宋" w:hAnsi="仿宋" w:eastAsia="仿宋" w:cs="仿宋"/>
          <w:color w:val="auto"/>
          <w:sz w:val="24"/>
        </w:rPr>
      </w:pPr>
    </w:p>
    <w:p>
      <w:pPr>
        <w:pStyle w:val="37"/>
        <w:ind w:left="0" w:firstLine="0"/>
        <w:rPr>
          <w:rFonts w:ascii="仿宋" w:hAnsi="仿宋" w:eastAsia="仿宋" w:cs="仿宋"/>
          <w:color w:val="auto"/>
          <w:sz w:val="24"/>
          <w:szCs w:val="24"/>
        </w:rPr>
      </w:pPr>
    </w:p>
    <w:p>
      <w:pPr>
        <w:ind w:firstLine="482" w:firstLineChars="200"/>
        <w:outlineLvl w:val="1"/>
        <w:rPr>
          <w:rFonts w:ascii="仿宋" w:hAnsi="仿宋" w:eastAsia="仿宋" w:cs="仿宋"/>
          <w:b/>
          <w:bCs/>
          <w:color w:val="auto"/>
          <w:sz w:val="24"/>
        </w:rPr>
      </w:pPr>
      <w:bookmarkStart w:id="23" w:name="_Toc138238020"/>
      <w:bookmarkEnd w:id="23"/>
      <w:r>
        <w:rPr>
          <w:rFonts w:hint="eastAsia" w:ascii="仿宋" w:hAnsi="仿宋" w:eastAsia="仿宋" w:cs="仿宋"/>
          <w:b/>
          <w:bCs/>
          <w:color w:val="auto"/>
          <w:sz w:val="24"/>
        </w:rPr>
        <w:t>2.4 实践教学资源管理系统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实践教学资源管理系统：主要实现实验基地、实验室、实验设备等实验资源的体系化管理。</w:t>
      </w:r>
    </w:p>
    <w:p>
      <w:pPr>
        <w:ind w:firstLine="240" w:firstLineChars="100"/>
        <w:rPr>
          <w:rFonts w:ascii="仿宋" w:hAnsi="仿宋" w:eastAsia="仿宋" w:cs="仿宋"/>
          <w:color w:val="auto"/>
          <w:sz w:val="24"/>
        </w:rPr>
      </w:pPr>
      <w:r>
        <w:rPr>
          <w:rFonts w:hint="eastAsia" w:ascii="仿宋" w:hAnsi="仿宋" w:eastAsia="仿宋" w:cs="仿宋"/>
          <w:color w:val="auto"/>
          <w:sz w:val="24"/>
        </w:rPr>
        <w:t>（1）基础数据管理：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bidi="zh-CN"/>
        </w:rPr>
        <w:t>主要管理实验室基础信息（导入至系统），包含实验室名称、所属实验基地、性质类型（新建/改建/扩建）、所在教学楼、楼层、门号、管理员、房间二维码、相关仪器设备（设备信息：预留二期与资产管理系统对接接口），管理员</w:t>
      </w:r>
      <w:r>
        <w:rPr>
          <w:rFonts w:hint="eastAsia" w:ascii="仿宋" w:hAnsi="仿宋" w:eastAsia="仿宋" w:cs="仿宋"/>
          <w:color w:val="auto"/>
          <w:sz w:val="24"/>
        </w:rPr>
        <w:t>可在后台根据实际情况的变化及时对系统中的数据进行修改维护，也可进行修改的历史数据报表导出等。</w:t>
      </w:r>
    </w:p>
    <w:p>
      <w:pPr>
        <w:pStyle w:val="37"/>
        <w:ind w:left="0" w:firstLine="240" w:firstLineChars="100"/>
        <w:rPr>
          <w:rFonts w:ascii="仿宋" w:hAnsi="仿宋" w:eastAsia="仿宋" w:cs="仿宋"/>
          <w:color w:val="auto"/>
          <w:sz w:val="24"/>
          <w:szCs w:val="24"/>
          <w:lang w:val="en-US"/>
        </w:rPr>
      </w:pPr>
      <w:r>
        <w:rPr>
          <w:rFonts w:hint="eastAsia" w:ascii="仿宋" w:hAnsi="仿宋" w:eastAsia="仿宋" w:cs="仿宋"/>
          <w:color w:val="auto"/>
          <w:sz w:val="24"/>
          <w:szCs w:val="24"/>
          <w:lang w:val="en-US"/>
        </w:rPr>
        <w:t>（2）门户网站</w:t>
      </w:r>
    </w:p>
    <w:p>
      <w:pPr>
        <w:spacing w:line="360" w:lineRule="auto"/>
        <w:ind w:firstLine="480" w:firstLineChars="200"/>
        <w:rPr>
          <w:rFonts w:ascii="仿宋" w:hAnsi="仿宋" w:eastAsia="仿宋" w:cs="仿宋"/>
          <w:color w:val="auto"/>
          <w:sz w:val="24"/>
          <w:lang w:bidi="zh-CN"/>
        </w:rPr>
      </w:pPr>
      <w:r>
        <w:rPr>
          <w:rFonts w:hint="eastAsia" w:ascii="仿宋" w:hAnsi="仿宋" w:eastAsia="仿宋" w:cs="仿宋"/>
          <w:color w:val="auto"/>
          <w:sz w:val="24"/>
          <w:lang w:bidi="zh-CN"/>
        </w:rPr>
        <w:t>作为学校、学院综合信息展示平台，通过门户网站动态展示各院校基本信息，发布实验室新闻、实验室动态、实验室公告与通知等动态信息，提供用户与实验室管理人员之间的服务反馈信息互动交流平台，同时门户网站也提供平台统一登录入口。</w:t>
      </w:r>
    </w:p>
    <w:p>
      <w:pPr>
        <w:pStyle w:val="37"/>
        <w:ind w:left="0" w:firstLine="240" w:firstLineChars="100"/>
        <w:rPr>
          <w:rFonts w:ascii="仿宋" w:hAnsi="仿宋" w:eastAsia="仿宋" w:cs="仿宋"/>
          <w:color w:val="auto"/>
          <w:sz w:val="24"/>
          <w:szCs w:val="24"/>
          <w:lang w:val="en-US"/>
        </w:rPr>
      </w:pPr>
      <w:r>
        <w:rPr>
          <w:rFonts w:hint="eastAsia" w:ascii="仿宋" w:hAnsi="仿宋" w:eastAsia="仿宋" w:cs="仿宋"/>
          <w:color w:val="auto"/>
          <w:sz w:val="24"/>
          <w:szCs w:val="24"/>
          <w:lang w:val="en-US"/>
        </w:rPr>
        <w:t>（3）预期绩效管理：</w:t>
      </w:r>
    </w:p>
    <w:p>
      <w:pPr>
        <w:pStyle w:val="37"/>
        <w:ind w:left="0"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管理员根据学校管理情况及制度在后台设置相应的教学、科研、社会服务、技能竞赛、考证等预期绩效指标。</w:t>
      </w:r>
    </w:p>
    <w:p>
      <w:pPr>
        <w:pStyle w:val="37"/>
        <w:ind w:left="0"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教学主要通过教务系统对应的是一个学年的总学时数。</w:t>
      </w:r>
    </w:p>
    <w:p>
      <w:pPr>
        <w:pStyle w:val="37"/>
        <w:ind w:left="0"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科研主要通过科研系统对应的科研成果数及预约系统相应的计时情况。</w:t>
      </w:r>
    </w:p>
    <w:p>
      <w:pPr>
        <w:pStyle w:val="37"/>
        <w:ind w:left="0"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社会服务主要通过学校每年承担的对外服务情况。</w:t>
      </w:r>
    </w:p>
    <w:p>
      <w:pPr>
        <w:pStyle w:val="37"/>
        <w:ind w:left="0"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技能竞赛及考证主要对应学校每年的技能竞赛承办、考证场次数、人次数等。</w:t>
      </w:r>
    </w:p>
    <w:p>
      <w:pPr>
        <w:spacing w:line="360" w:lineRule="auto"/>
        <w:ind w:firstLine="482" w:firstLineChars="200"/>
        <w:jc w:val="left"/>
        <w:rPr>
          <w:ins w:id="0" w:author="admin" w:date="2023-09-19T15:10:15Z"/>
          <w:rFonts w:hint="eastAsia" w:ascii="仿宋" w:hAnsi="仿宋" w:eastAsia="仿宋"/>
          <w:b/>
          <w:bCs/>
          <w:color w:val="auto"/>
          <w:sz w:val="24"/>
        </w:rPr>
      </w:pPr>
    </w:p>
    <w:p>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 xml:space="preserve">2.4.1实验室基础管理 </w:t>
      </w:r>
    </w:p>
    <w:p>
      <w:pPr>
        <w:spacing w:line="360" w:lineRule="auto"/>
        <w:ind w:firstLine="600" w:firstLineChars="250"/>
        <w:rPr>
          <w:rFonts w:ascii="仿宋" w:hAnsi="仿宋" w:eastAsia="仿宋" w:cs="仿宋"/>
          <w:color w:val="auto"/>
          <w:sz w:val="24"/>
          <w:lang w:bidi="zh-CN"/>
        </w:rPr>
      </w:pPr>
      <w:r>
        <w:rPr>
          <w:rFonts w:hint="eastAsia" w:ascii="仿宋" w:hAnsi="仿宋" w:eastAsia="仿宋" w:cs="仿宋"/>
          <w:color w:val="auto"/>
          <w:sz w:val="24"/>
          <w:lang w:bidi="zh-CN"/>
        </w:rPr>
        <w:t xml:space="preserve">实验室管理：名称、所属实验基地、性质（新建/改建/扩建）、教学楼、楼层、门号、管理员、仪器设备；支持实验室管理员输入新建(改造/扩建)实验室。 </w:t>
      </w:r>
    </w:p>
    <w:p>
      <w:pPr>
        <w:spacing w:line="360" w:lineRule="auto"/>
        <w:ind w:firstLine="600" w:firstLineChars="250"/>
        <w:rPr>
          <w:rFonts w:ascii="仿宋" w:hAnsi="仿宋" w:eastAsia="仿宋" w:cs="仿宋"/>
          <w:color w:val="auto"/>
          <w:sz w:val="24"/>
          <w:lang w:bidi="zh-CN"/>
        </w:rPr>
      </w:pPr>
      <w:r>
        <w:rPr>
          <w:rFonts w:hint="eastAsia" w:ascii="仿宋" w:hAnsi="仿宋" w:eastAsia="仿宋" w:cs="仿宋"/>
          <w:color w:val="auto"/>
          <w:sz w:val="24"/>
          <w:lang w:bidi="zh-CN"/>
        </w:rPr>
        <w:t xml:space="preserve">实验室预期绩效：教学、科研、社会服务、技能竞赛、考证；预期绩效指标可以自定义；对应的是一个学年的总学时数。 </w:t>
      </w:r>
    </w:p>
    <w:p>
      <w:pPr>
        <w:spacing w:line="360" w:lineRule="auto"/>
        <w:ind w:firstLine="600" w:firstLineChars="250"/>
        <w:rPr>
          <w:rFonts w:ascii="仿宋" w:hAnsi="仿宋" w:eastAsia="仿宋" w:cs="仿宋"/>
          <w:color w:val="auto"/>
          <w:sz w:val="24"/>
          <w:lang w:bidi="zh-CN"/>
        </w:rPr>
      </w:pPr>
      <w:r>
        <w:rPr>
          <w:rFonts w:hint="eastAsia" w:ascii="仿宋" w:hAnsi="仿宋" w:eastAsia="仿宋" w:cs="仿宋"/>
          <w:color w:val="auto"/>
          <w:sz w:val="24"/>
          <w:lang w:bidi="zh-CN"/>
        </w:rPr>
        <w:t xml:space="preserve">实验室功能终止归档：历史数据存档，变成历史数据，实验室不再计入当前可用实验室统计和查询列表中；做归档标记。 </w:t>
      </w:r>
    </w:p>
    <w:p>
      <w:pPr>
        <w:widowControl/>
        <w:spacing w:line="360" w:lineRule="auto"/>
        <w:ind w:firstLine="480" w:firstLineChars="200"/>
        <w:jc w:val="left"/>
        <w:rPr>
          <w:rFonts w:ascii="宋体" w:hAnsi="宋体" w:cs="宋体"/>
          <w:color w:val="auto"/>
          <w:kern w:val="0"/>
          <w:sz w:val="24"/>
          <w:highlight w:val="yellow"/>
          <w:lang w:bidi="ar"/>
        </w:rPr>
      </w:pPr>
    </w:p>
    <w:p>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2.4.2▲设备管理</w:t>
      </w:r>
    </w:p>
    <w:p>
      <w:pPr>
        <w:spacing w:line="360" w:lineRule="auto"/>
        <w:ind w:firstLine="600" w:firstLineChars="250"/>
        <w:rPr>
          <w:rFonts w:ascii="仿宋" w:hAnsi="仿宋" w:eastAsia="仿宋" w:cs="仿宋"/>
          <w:color w:val="auto"/>
          <w:sz w:val="24"/>
          <w:lang w:bidi="zh-CN"/>
        </w:rPr>
      </w:pPr>
      <w:r>
        <w:rPr>
          <w:rFonts w:hint="eastAsia" w:ascii="仿宋" w:hAnsi="仿宋" w:eastAsia="仿宋" w:cs="仿宋"/>
          <w:color w:val="auto"/>
          <w:sz w:val="24"/>
          <w:lang w:bidi="zh-CN"/>
        </w:rPr>
        <w:t xml:space="preserve">设备管理模块主要立足设备的系统化、专业化和全生命周期的闭环管理，体现科学规范的流程化管理体系，突出设备管理的特殊性。集中展示基础数据和业务流程模块，实时掌握仪器设备管理状态。业务流程包含设备预约、日常管理、报废处置、设备档案、统计报表等内容。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2.4.2.1实验设备建档</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每台设备从申请采购到报废的整套资料应妥善保存，包括设备信息维护等资料。仪器分类：竞赛用仪器/教学用仪器等； </w:t>
      </w:r>
    </w:p>
    <w:p>
      <w:pPr>
        <w:pStyle w:val="21"/>
        <w:rPr>
          <w:color w:val="auto"/>
        </w:rPr>
      </w:pPr>
    </w:p>
    <w:p>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2.4.2.2设备预约</w:t>
      </w:r>
    </w:p>
    <w:p>
      <w:pPr>
        <w:spacing w:line="360" w:lineRule="auto"/>
        <w:ind w:firstLine="600" w:firstLineChars="250"/>
        <w:rPr>
          <w:rFonts w:ascii="仿宋" w:hAnsi="仿宋" w:eastAsia="仿宋" w:cs="仿宋"/>
          <w:color w:val="auto"/>
          <w:sz w:val="24"/>
          <w:lang w:bidi="zh-CN"/>
        </w:rPr>
      </w:pPr>
      <w:r>
        <w:rPr>
          <w:rFonts w:hint="eastAsia" w:ascii="仿宋" w:hAnsi="仿宋" w:eastAsia="仿宋" w:cs="仿宋"/>
          <w:color w:val="auto"/>
          <w:sz w:val="24"/>
          <w:lang w:bidi="zh-CN"/>
        </w:rPr>
        <w:t xml:space="preserve">可按专业/班级/课程/人数/设备名称/类型，要显示库存可用设备清单（除了已被预约的设备），课代表进行预约申请，可批量申请并指定领用人员。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2.4.2.3设备领用</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实验室管理员或实验室助手可使用手机扫码进行仪器设备领用，并附指定领用人，可临时保存及更换领用人员。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2.4.2.4设备归还</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实验室管理员或实验室助手可使用手机扫码入库，扫码显示匹配归还登记。</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2.4.2.5仪器延期归还</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仪器使用超时或临近归还时间点，推送信息通知。提醒尽快归还或者延长借用申请。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2.4.2.7损坏登记</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登记损坏赔偿记录；加入完好标记；具体赔偿流程走线下财务处理。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2.4.2.8设备日常维修</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设备出现故障后，用户发起维维修申报：扫仪器码、按维修键（损坏部位拍照上传）。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2.4.2.9设备日常/定期集中维保</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日常维护根据设备的不同种类和要求在系统中设定日常保养提醒，如定期更换耗材、定期校正、特殊设备定期检修等。定期集中保养，由学校根据设备的不同特性，每季度集中（分批、分类）开展仪器设备保养。每台设施与设备维保流程和内容可随时添加。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2.4.2.10报废处置</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对使用年久、淘汰、配件缺失、无法维修或维修成本过高的设备登记报废记录；由领导进行结果批复（可继续使用/同意维修/申请报废。）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2.4.2.11设备档案卡片</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设备全生命周期卡（建档-入库-借用记录-归还记录-维修记录-报废）。 </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数据分析</w:t>
      </w:r>
    </w:p>
    <w:p>
      <w:pPr>
        <w:widowControl/>
        <w:spacing w:line="360" w:lineRule="auto"/>
        <w:ind w:firstLine="480" w:firstLineChars="200"/>
        <w:jc w:val="left"/>
        <w:rPr>
          <w:rFonts w:ascii="仿宋" w:hAnsi="仿宋" w:eastAsia="仿宋" w:cs="仿宋"/>
          <w:color w:val="auto"/>
          <w:sz w:val="24"/>
          <w:lang w:bidi="zh-CN"/>
        </w:rPr>
      </w:pPr>
      <w:r>
        <w:rPr>
          <w:rFonts w:hint="eastAsia" w:ascii="仿宋" w:hAnsi="仿宋" w:eastAsia="仿宋" w:cs="仿宋"/>
          <w:color w:val="auto"/>
          <w:sz w:val="24"/>
          <w:lang w:bidi="zh-CN"/>
        </w:rPr>
        <w:t xml:space="preserve">根据用户设定要求，实现数据查询、分类、统计等功能，导出、下载和打印仪器设备详细数据内容（如：维修率报表、设备使用情况分析并排行——以实验室/系为单位，统计某时间段某类仪器的使用率，对实验室管理员和系部的考核、设备资产统计/贵重设备统计/科学仪器设备统计/教学仪器统计/竞赛仪器统计等；） </w:t>
      </w:r>
    </w:p>
    <w:p>
      <w:pPr>
        <w:spacing w:line="360" w:lineRule="auto"/>
        <w:ind w:firstLine="482" w:firstLineChars="200"/>
        <w:jc w:val="left"/>
        <w:rPr>
          <w:ins w:id="1" w:author="admin" w:date="2023-09-19T15:10:01Z"/>
          <w:rFonts w:hint="eastAsia" w:ascii="仿宋" w:hAnsi="仿宋" w:eastAsia="仿宋"/>
          <w:b/>
          <w:bCs/>
          <w:color w:val="auto"/>
          <w:sz w:val="24"/>
        </w:rPr>
      </w:pPr>
    </w:p>
    <w:p>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
          <w:bCs/>
          <w:color w:val="auto"/>
          <w:sz w:val="24"/>
          <w:lang w:val="en-US" w:eastAsia="zh-CN"/>
        </w:rPr>
        <w:t>3</w:t>
      </w:r>
      <w:r>
        <w:rPr>
          <w:rFonts w:hint="eastAsia" w:ascii="仿宋" w:hAnsi="仿宋" w:eastAsia="仿宋"/>
          <w:b/>
          <w:bCs/>
          <w:color w:val="auto"/>
          <w:sz w:val="24"/>
        </w:rPr>
        <w:t xml:space="preserve"> 实践教学安全管理</w:t>
      </w:r>
    </w:p>
    <w:p>
      <w:pPr>
        <w:widowControl/>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安全准入管理</w:t>
      </w:r>
    </w:p>
    <w:p>
      <w:pPr>
        <w:ind w:firstLine="480" w:firstLineChars="200"/>
        <w:rPr>
          <w:rFonts w:ascii="仿宋" w:hAnsi="仿宋" w:eastAsia="仿宋" w:cs="仿宋"/>
          <w:color w:val="auto"/>
          <w:sz w:val="24"/>
          <w:lang w:bidi="zh-CN"/>
        </w:rPr>
      </w:pPr>
      <w:r>
        <w:rPr>
          <w:rFonts w:hint="eastAsia" w:ascii="仿宋" w:hAnsi="仿宋" w:eastAsia="仿宋" w:cs="仿宋"/>
          <w:color w:val="auto"/>
          <w:sz w:val="24"/>
          <w:lang w:bidi="zh-CN"/>
        </w:rPr>
        <w:t>1、题库管理：系统内置题库。包括常规安全题库；专业题库等内容。管理员也可在后台进行添加、编辑、删除题库内容并设置标签。</w:t>
      </w:r>
    </w:p>
    <w:p>
      <w:pPr>
        <w:ind w:firstLine="480" w:firstLineChars="200"/>
        <w:rPr>
          <w:rFonts w:ascii="仿宋" w:hAnsi="仿宋" w:eastAsia="仿宋" w:cs="仿宋"/>
          <w:color w:val="auto"/>
          <w:sz w:val="24"/>
          <w:lang w:bidi="zh-CN"/>
        </w:rPr>
      </w:pPr>
      <w:r>
        <w:rPr>
          <w:rFonts w:ascii="仿宋" w:hAnsi="仿宋" w:eastAsia="仿宋" w:cs="仿宋"/>
          <w:color w:val="auto"/>
          <w:sz w:val="24"/>
          <w:lang w:bidi="zh-CN"/>
        </w:rPr>
        <w:t>2</w:t>
      </w:r>
      <w:r>
        <w:rPr>
          <w:rFonts w:hint="eastAsia" w:ascii="仿宋" w:hAnsi="仿宋" w:eastAsia="仿宋" w:cs="仿宋"/>
          <w:color w:val="auto"/>
          <w:sz w:val="24"/>
          <w:lang w:bidi="zh-CN"/>
        </w:rPr>
        <w:t>、试卷管理：管理员可以从题库中检索并选取相应类型的试题，生成多套试卷，并可自由设置分数。</w:t>
      </w:r>
    </w:p>
    <w:p>
      <w:pPr>
        <w:pStyle w:val="21"/>
        <w:ind w:firstLine="480" w:firstLineChars="200"/>
        <w:rPr>
          <w:rFonts w:ascii="仿宋" w:hAnsi="仿宋" w:eastAsia="仿宋" w:cs="仿宋"/>
          <w:color w:val="auto"/>
          <w:kern w:val="2"/>
          <w:lang w:bidi="zh-CN"/>
        </w:rPr>
      </w:pPr>
      <w:r>
        <w:rPr>
          <w:rFonts w:ascii="仿宋" w:hAnsi="仿宋" w:eastAsia="仿宋" w:cs="仿宋"/>
          <w:color w:val="auto"/>
          <w:kern w:val="2"/>
          <w:lang w:bidi="zh-CN"/>
        </w:rPr>
        <w:t>3</w:t>
      </w:r>
      <w:r>
        <w:rPr>
          <w:rFonts w:hint="eastAsia" w:ascii="仿宋" w:hAnsi="仿宋" w:eastAsia="仿宋" w:cs="仿宋"/>
          <w:color w:val="auto"/>
          <w:kern w:val="2"/>
          <w:lang w:bidi="zh-CN"/>
        </w:rPr>
        <w:t xml:space="preserve">、考试管理：可根据不同专业、班级推送考试内容，师生在规定时间内完成安全考试。 </w:t>
      </w:r>
    </w:p>
    <w:p>
      <w:pPr>
        <w:widowControl/>
        <w:spacing w:line="360" w:lineRule="auto"/>
        <w:ind w:firstLine="480" w:firstLineChars="200"/>
        <w:jc w:val="left"/>
        <w:rPr>
          <w:rFonts w:ascii="仿宋" w:hAnsi="仿宋" w:eastAsia="仿宋" w:cs="仿宋"/>
          <w:color w:val="auto"/>
          <w:sz w:val="24"/>
          <w:lang w:bidi="zh-CN"/>
        </w:rPr>
      </w:pPr>
      <w:r>
        <w:rPr>
          <w:rFonts w:ascii="仿宋" w:hAnsi="仿宋" w:eastAsia="仿宋" w:cs="仿宋"/>
          <w:color w:val="auto"/>
          <w:sz w:val="24"/>
          <w:lang w:bidi="zh-CN"/>
        </w:rPr>
        <w:t>4</w:t>
      </w:r>
      <w:r>
        <w:rPr>
          <w:rFonts w:hint="eastAsia" w:ascii="仿宋" w:hAnsi="仿宋" w:eastAsia="仿宋" w:cs="仿宋"/>
          <w:color w:val="auto"/>
          <w:sz w:val="24"/>
          <w:lang w:bidi="zh-CN"/>
        </w:rPr>
        <w:t>、在线测评：在线测评，记录并显示个人历史分及最高分；</w:t>
      </w:r>
    </w:p>
    <w:p>
      <w:pPr>
        <w:widowControl/>
        <w:spacing w:line="360" w:lineRule="auto"/>
        <w:ind w:firstLine="480" w:firstLineChars="200"/>
        <w:jc w:val="left"/>
        <w:rPr>
          <w:rFonts w:ascii="仿宋" w:hAnsi="仿宋" w:eastAsia="仿宋" w:cs="仿宋"/>
          <w:color w:val="auto"/>
          <w:sz w:val="24"/>
          <w:lang w:bidi="zh-CN"/>
        </w:rPr>
      </w:pPr>
      <w:r>
        <w:rPr>
          <w:rFonts w:ascii="仿宋" w:hAnsi="仿宋" w:eastAsia="仿宋" w:cs="仿宋"/>
          <w:color w:val="auto"/>
          <w:sz w:val="24"/>
          <w:lang w:bidi="zh-CN"/>
        </w:rPr>
        <w:t>5</w:t>
      </w:r>
      <w:r>
        <w:rPr>
          <w:rFonts w:hint="eastAsia" w:ascii="仿宋" w:hAnsi="仿宋" w:eastAsia="仿宋" w:cs="仿宋"/>
          <w:color w:val="auto"/>
          <w:sz w:val="24"/>
          <w:lang w:bidi="zh-CN"/>
        </w:rPr>
        <w:t xml:space="preserve">、成绩管理：实验室安全准入授权证书；支持证书的查看、下载、修改、删除等操作，针对考试通过的师生，系统自动进行准入证书的发放。后台可查看考试成绩的查询与统计、准入证书查询、参加考试人数、合格人数、准入通过率等数据。 </w:t>
      </w:r>
    </w:p>
    <w:p>
      <w:pPr>
        <w:pStyle w:val="37"/>
        <w:ind w:left="0" w:firstLine="0"/>
        <w:rPr>
          <w:rFonts w:ascii="仿宋" w:hAnsi="仿宋" w:eastAsia="仿宋" w:cs="仿宋"/>
          <w:color w:val="auto"/>
          <w:sz w:val="24"/>
          <w:szCs w:val="24"/>
          <w:lang w:val="en-US"/>
        </w:rPr>
      </w:pPr>
    </w:p>
    <w:p>
      <w:pPr>
        <w:pStyle w:val="37"/>
        <w:ind w:left="0" w:firstLine="0"/>
        <w:rPr>
          <w:rFonts w:ascii="仿宋" w:hAnsi="仿宋" w:eastAsia="仿宋" w:cs="仿宋"/>
          <w:b/>
          <w:bCs/>
          <w:color w:val="auto"/>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44862"/>
    <w:multiLevelType w:val="multilevel"/>
    <w:tmpl w:val="74344862"/>
    <w:lvl w:ilvl="0" w:tentative="0">
      <w:start w:val="1"/>
      <w:numFmt w:val="decima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DViNGJhMzE5OGNlOGE3MTAxOGIyYmUyNjc0ZDMifQ=="/>
  </w:docVars>
  <w:rsids>
    <w:rsidRoot w:val="00E577C3"/>
    <w:rsid w:val="00055842"/>
    <w:rsid w:val="00084C55"/>
    <w:rsid w:val="000B5A77"/>
    <w:rsid w:val="001019C3"/>
    <w:rsid w:val="0014139C"/>
    <w:rsid w:val="001461BA"/>
    <w:rsid w:val="001632C2"/>
    <w:rsid w:val="001904BE"/>
    <w:rsid w:val="00195196"/>
    <w:rsid w:val="001A1D5F"/>
    <w:rsid w:val="001C699C"/>
    <w:rsid w:val="001D6894"/>
    <w:rsid w:val="001E5D1E"/>
    <w:rsid w:val="002071E7"/>
    <w:rsid w:val="00217486"/>
    <w:rsid w:val="00257D15"/>
    <w:rsid w:val="00296E2F"/>
    <w:rsid w:val="002C0756"/>
    <w:rsid w:val="002E6053"/>
    <w:rsid w:val="00310A41"/>
    <w:rsid w:val="0031208C"/>
    <w:rsid w:val="00313C08"/>
    <w:rsid w:val="0032609B"/>
    <w:rsid w:val="00334550"/>
    <w:rsid w:val="003424D3"/>
    <w:rsid w:val="003B1957"/>
    <w:rsid w:val="00410934"/>
    <w:rsid w:val="00433248"/>
    <w:rsid w:val="004551AF"/>
    <w:rsid w:val="004573BC"/>
    <w:rsid w:val="00494D67"/>
    <w:rsid w:val="00496177"/>
    <w:rsid w:val="004B7492"/>
    <w:rsid w:val="004D2BBC"/>
    <w:rsid w:val="004D621D"/>
    <w:rsid w:val="004F258B"/>
    <w:rsid w:val="0050675F"/>
    <w:rsid w:val="005660A7"/>
    <w:rsid w:val="005A3570"/>
    <w:rsid w:val="005B1B03"/>
    <w:rsid w:val="005E1E9A"/>
    <w:rsid w:val="005F1999"/>
    <w:rsid w:val="005F6253"/>
    <w:rsid w:val="0060118B"/>
    <w:rsid w:val="00606F25"/>
    <w:rsid w:val="00644F29"/>
    <w:rsid w:val="00660F59"/>
    <w:rsid w:val="006926C3"/>
    <w:rsid w:val="006E346D"/>
    <w:rsid w:val="0071734F"/>
    <w:rsid w:val="00721FFF"/>
    <w:rsid w:val="00761864"/>
    <w:rsid w:val="007C77D9"/>
    <w:rsid w:val="007D0240"/>
    <w:rsid w:val="007D32E3"/>
    <w:rsid w:val="007D7AE2"/>
    <w:rsid w:val="007F58CD"/>
    <w:rsid w:val="00813467"/>
    <w:rsid w:val="008159B5"/>
    <w:rsid w:val="008421BE"/>
    <w:rsid w:val="00865195"/>
    <w:rsid w:val="00874A0C"/>
    <w:rsid w:val="00884B96"/>
    <w:rsid w:val="00887114"/>
    <w:rsid w:val="008A1337"/>
    <w:rsid w:val="008A1530"/>
    <w:rsid w:val="008D3264"/>
    <w:rsid w:val="008D7734"/>
    <w:rsid w:val="0092376F"/>
    <w:rsid w:val="00931676"/>
    <w:rsid w:val="00936E15"/>
    <w:rsid w:val="00937878"/>
    <w:rsid w:val="00964A9E"/>
    <w:rsid w:val="00971377"/>
    <w:rsid w:val="009730CA"/>
    <w:rsid w:val="009917B9"/>
    <w:rsid w:val="00A03518"/>
    <w:rsid w:val="00A13633"/>
    <w:rsid w:val="00A65584"/>
    <w:rsid w:val="00A80A83"/>
    <w:rsid w:val="00AF712E"/>
    <w:rsid w:val="00B84D75"/>
    <w:rsid w:val="00B870F0"/>
    <w:rsid w:val="00B97681"/>
    <w:rsid w:val="00BA35E2"/>
    <w:rsid w:val="00BC4621"/>
    <w:rsid w:val="00BD6F77"/>
    <w:rsid w:val="00C215AE"/>
    <w:rsid w:val="00C62126"/>
    <w:rsid w:val="00CB57B8"/>
    <w:rsid w:val="00CC2221"/>
    <w:rsid w:val="00D268D5"/>
    <w:rsid w:val="00D3132E"/>
    <w:rsid w:val="00D31D64"/>
    <w:rsid w:val="00D85635"/>
    <w:rsid w:val="00D933A9"/>
    <w:rsid w:val="00DC64A6"/>
    <w:rsid w:val="00DE126E"/>
    <w:rsid w:val="00DF0526"/>
    <w:rsid w:val="00E3701A"/>
    <w:rsid w:val="00E577C3"/>
    <w:rsid w:val="00E64638"/>
    <w:rsid w:val="00E733BC"/>
    <w:rsid w:val="00E811F5"/>
    <w:rsid w:val="00E96D48"/>
    <w:rsid w:val="00EF5D1E"/>
    <w:rsid w:val="00F05985"/>
    <w:rsid w:val="00F166B2"/>
    <w:rsid w:val="00F406BB"/>
    <w:rsid w:val="00F60984"/>
    <w:rsid w:val="00FD3E90"/>
    <w:rsid w:val="00FD59FE"/>
    <w:rsid w:val="014432E0"/>
    <w:rsid w:val="06F9701D"/>
    <w:rsid w:val="073836D3"/>
    <w:rsid w:val="084D491C"/>
    <w:rsid w:val="08784D52"/>
    <w:rsid w:val="08EF7A26"/>
    <w:rsid w:val="0BCD2594"/>
    <w:rsid w:val="0D192CC1"/>
    <w:rsid w:val="0D1C45B2"/>
    <w:rsid w:val="0D62529A"/>
    <w:rsid w:val="104A72E1"/>
    <w:rsid w:val="113904D3"/>
    <w:rsid w:val="12502773"/>
    <w:rsid w:val="12FE1C75"/>
    <w:rsid w:val="13E84AA1"/>
    <w:rsid w:val="15E0331B"/>
    <w:rsid w:val="16577B7F"/>
    <w:rsid w:val="173D0386"/>
    <w:rsid w:val="177F38D6"/>
    <w:rsid w:val="1A4926C6"/>
    <w:rsid w:val="1A8666B2"/>
    <w:rsid w:val="1B525807"/>
    <w:rsid w:val="1CF63D55"/>
    <w:rsid w:val="2084799F"/>
    <w:rsid w:val="20D41ABC"/>
    <w:rsid w:val="20EB29D1"/>
    <w:rsid w:val="23026F7D"/>
    <w:rsid w:val="23066BF7"/>
    <w:rsid w:val="232E76F5"/>
    <w:rsid w:val="24D93F84"/>
    <w:rsid w:val="2563280B"/>
    <w:rsid w:val="2664190B"/>
    <w:rsid w:val="26A6713C"/>
    <w:rsid w:val="27490297"/>
    <w:rsid w:val="279C3DF9"/>
    <w:rsid w:val="27AF38A8"/>
    <w:rsid w:val="28686ECD"/>
    <w:rsid w:val="28994557"/>
    <w:rsid w:val="295B3E76"/>
    <w:rsid w:val="29BD4EFE"/>
    <w:rsid w:val="29BD50CF"/>
    <w:rsid w:val="29BE16FA"/>
    <w:rsid w:val="29F16480"/>
    <w:rsid w:val="2A1D546D"/>
    <w:rsid w:val="2C1B4F2E"/>
    <w:rsid w:val="2C2D49B1"/>
    <w:rsid w:val="2D761437"/>
    <w:rsid w:val="312B28A2"/>
    <w:rsid w:val="31AC0802"/>
    <w:rsid w:val="334F34F5"/>
    <w:rsid w:val="3355238B"/>
    <w:rsid w:val="337A2B1E"/>
    <w:rsid w:val="340D480C"/>
    <w:rsid w:val="34621291"/>
    <w:rsid w:val="34DD76B1"/>
    <w:rsid w:val="356A0ABF"/>
    <w:rsid w:val="35764EA4"/>
    <w:rsid w:val="361813B6"/>
    <w:rsid w:val="38AC6FE9"/>
    <w:rsid w:val="39DF2F0E"/>
    <w:rsid w:val="3AC155A3"/>
    <w:rsid w:val="3B574B06"/>
    <w:rsid w:val="42090DDA"/>
    <w:rsid w:val="44F23D12"/>
    <w:rsid w:val="4591409C"/>
    <w:rsid w:val="472810FC"/>
    <w:rsid w:val="474F5173"/>
    <w:rsid w:val="47591E2C"/>
    <w:rsid w:val="47AA6F0C"/>
    <w:rsid w:val="48B35688"/>
    <w:rsid w:val="497B1CF8"/>
    <w:rsid w:val="4B056A04"/>
    <w:rsid w:val="4B9109A2"/>
    <w:rsid w:val="4BBB48DD"/>
    <w:rsid w:val="4D81666C"/>
    <w:rsid w:val="4D853D07"/>
    <w:rsid w:val="4E6167CC"/>
    <w:rsid w:val="4F3D32D7"/>
    <w:rsid w:val="4FC10B4F"/>
    <w:rsid w:val="50145C54"/>
    <w:rsid w:val="527D7D71"/>
    <w:rsid w:val="529349CB"/>
    <w:rsid w:val="53432B32"/>
    <w:rsid w:val="544D6BA1"/>
    <w:rsid w:val="55930575"/>
    <w:rsid w:val="561D5E73"/>
    <w:rsid w:val="5757785B"/>
    <w:rsid w:val="57F94612"/>
    <w:rsid w:val="584F3F39"/>
    <w:rsid w:val="590C7965"/>
    <w:rsid w:val="5B86195B"/>
    <w:rsid w:val="5BAC6E20"/>
    <w:rsid w:val="5BD033AD"/>
    <w:rsid w:val="5D293867"/>
    <w:rsid w:val="5D5A3BD1"/>
    <w:rsid w:val="5DD069D2"/>
    <w:rsid w:val="5DDB3291"/>
    <w:rsid w:val="5DF369A1"/>
    <w:rsid w:val="6132067B"/>
    <w:rsid w:val="61C63865"/>
    <w:rsid w:val="639667FC"/>
    <w:rsid w:val="63A729A7"/>
    <w:rsid w:val="66A92168"/>
    <w:rsid w:val="67100ED9"/>
    <w:rsid w:val="67446285"/>
    <w:rsid w:val="67ED3311"/>
    <w:rsid w:val="684843EB"/>
    <w:rsid w:val="68EB60E4"/>
    <w:rsid w:val="699323BC"/>
    <w:rsid w:val="69E662C9"/>
    <w:rsid w:val="6C1722ED"/>
    <w:rsid w:val="6E202C32"/>
    <w:rsid w:val="6F606FD0"/>
    <w:rsid w:val="70E03D4C"/>
    <w:rsid w:val="70F9339F"/>
    <w:rsid w:val="71FF2FF7"/>
    <w:rsid w:val="722D1666"/>
    <w:rsid w:val="72743B37"/>
    <w:rsid w:val="72EC7A98"/>
    <w:rsid w:val="73AC77BA"/>
    <w:rsid w:val="74145BFB"/>
    <w:rsid w:val="76984902"/>
    <w:rsid w:val="775B4689"/>
    <w:rsid w:val="7982560A"/>
    <w:rsid w:val="7B122147"/>
    <w:rsid w:val="7B2B4D14"/>
    <w:rsid w:val="7C7D78AD"/>
    <w:rsid w:val="7FDFF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kern w:val="0"/>
      <w:sz w:val="20"/>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宋体" w:hAnsi="宋体"/>
      <w:sz w:val="28"/>
    </w:rPr>
  </w:style>
  <w:style w:type="paragraph" w:styleId="7">
    <w:name w:val="Body Text Indent"/>
    <w:basedOn w:val="1"/>
    <w:qFormat/>
    <w:uiPriority w:val="0"/>
    <w:pPr>
      <w:spacing w:line="480" w:lineRule="auto"/>
      <w:ind w:firstLine="600"/>
    </w:pPr>
    <w:rPr>
      <w:rFonts w:ascii="Times New Roman" w:hAnsi="Times New Roman"/>
      <w:kern w:val="0"/>
      <w:sz w:val="28"/>
      <w:szCs w:val="20"/>
    </w:rPr>
  </w:style>
  <w:style w:type="paragraph" w:styleId="8">
    <w:name w:val="Body Text Indent 2"/>
    <w:basedOn w:val="1"/>
    <w:qFormat/>
    <w:uiPriority w:val="0"/>
    <w:pPr>
      <w:spacing w:line="320" w:lineRule="atLeast"/>
      <w:ind w:firstLine="600" w:firstLineChars="250"/>
    </w:pPr>
    <w:rPr>
      <w:rFonts w:ascii="宋体" w:hAnsi="宋体" w:eastAsia="仿宋_GB2312"/>
      <w:b/>
      <w:sz w:val="24"/>
    </w:rPr>
  </w:style>
  <w:style w:type="paragraph" w:styleId="9">
    <w:name w:val="Balloon Text"/>
    <w:basedOn w:val="1"/>
    <w:link w:val="24"/>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1400"/>
    </w:pPr>
    <w:rPr>
      <w:sz w:val="18"/>
      <w:szCs w:val="18"/>
    </w:rPr>
  </w:style>
  <w:style w:type="paragraph" w:styleId="13">
    <w:name w:val="Title"/>
    <w:basedOn w:val="1"/>
    <w:qFormat/>
    <w:uiPriority w:val="0"/>
    <w:pPr>
      <w:widowControl/>
      <w:spacing w:before="240" w:after="60"/>
      <w:jc w:val="center"/>
      <w:outlineLvl w:val="0"/>
    </w:pPr>
    <w:rPr>
      <w:rFonts w:ascii="Arial" w:hAnsi="Arial" w:eastAsia="华文中宋" w:cs="Arial"/>
      <w:b/>
      <w:bCs/>
      <w:color w:val="FF0000"/>
      <w:kern w:val="0"/>
      <w:sz w:val="84"/>
      <w:szCs w:val="32"/>
    </w:rPr>
  </w:style>
  <w:style w:type="paragraph" w:styleId="14">
    <w:name w:val="Body Text First Indent"/>
    <w:basedOn w:val="6"/>
    <w:qFormat/>
    <w:uiPriority w:val="99"/>
    <w:pPr>
      <w:ind w:firstLine="420" w:firstLineChars="100"/>
    </w:pPr>
    <w:rPr>
      <w:sz w:val="21"/>
    </w:rPr>
  </w:style>
  <w:style w:type="paragraph" w:styleId="15">
    <w:name w:val="Body Text First Indent 2"/>
    <w:basedOn w:val="7"/>
    <w:unhideWhenUsed/>
    <w:qFormat/>
    <w:uiPriority w:val="0"/>
    <w:pPr>
      <w:autoSpaceDE w:val="0"/>
      <w:autoSpaceDN w:val="0"/>
      <w:adjustRightInd w:val="0"/>
      <w:ind w:firstLine="420" w:firstLineChars="200"/>
      <w:jc w:val="left"/>
    </w:pPr>
    <w:rPr>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OC 71"/>
    <w:qFormat/>
    <w:uiPriority w:val="0"/>
    <w:pPr>
      <w:wordWrap w:val="0"/>
      <w:ind w:left="2550"/>
      <w:jc w:val="both"/>
    </w:pPr>
    <w:rPr>
      <w:rFonts w:ascii="Calibri" w:hAnsi="Calibri" w:eastAsia="宋体" w:cs="Times New Roman"/>
      <w:sz w:val="21"/>
      <w:szCs w:val="22"/>
      <w:lang w:val="en-US" w:eastAsia="zh-CN" w:bidi="ar-SA"/>
    </w:rPr>
  </w:style>
  <w:style w:type="paragraph" w:customStyle="1" w:styleId="2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24">
    <w:name w:val="批注框文本 Char"/>
    <w:link w:val="9"/>
    <w:qFormat/>
    <w:uiPriority w:val="0"/>
    <w:rPr>
      <w:rFonts w:ascii="Calibri" w:hAnsi="Calibri"/>
      <w:kern w:val="2"/>
      <w:sz w:val="18"/>
      <w:szCs w:val="18"/>
    </w:rPr>
  </w:style>
  <w:style w:type="character" w:customStyle="1" w:styleId="25">
    <w:name w:val="页脚 Char"/>
    <w:link w:val="10"/>
    <w:qFormat/>
    <w:uiPriority w:val="0"/>
    <w:rPr>
      <w:rFonts w:ascii="Calibri" w:hAnsi="Calibri"/>
      <w:kern w:val="2"/>
      <w:sz w:val="18"/>
      <w:szCs w:val="18"/>
    </w:rPr>
  </w:style>
  <w:style w:type="character" w:customStyle="1" w:styleId="26">
    <w:name w:val="font51"/>
    <w:qFormat/>
    <w:uiPriority w:val="0"/>
    <w:rPr>
      <w:rFonts w:hint="eastAsia" w:ascii="宋体" w:hAnsi="宋体" w:eastAsia="宋体" w:cs="宋体"/>
      <w:color w:val="000000"/>
      <w:sz w:val="20"/>
      <w:szCs w:val="20"/>
      <w:u w:val="none"/>
    </w:rPr>
  </w:style>
  <w:style w:type="character" w:customStyle="1" w:styleId="27">
    <w:name w:val="font61"/>
    <w:qFormat/>
    <w:uiPriority w:val="0"/>
    <w:rPr>
      <w:rFonts w:hint="eastAsia" w:ascii="宋体" w:hAnsi="宋体" w:eastAsia="宋体" w:cs="宋体"/>
      <w:b/>
      <w:color w:val="FF0000"/>
      <w:sz w:val="20"/>
      <w:szCs w:val="20"/>
      <w:u w:val="none"/>
    </w:rPr>
  </w:style>
  <w:style w:type="paragraph" w:customStyle="1" w:styleId="28">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ader-word-layer reader-word-s8-21"/>
    <w:basedOn w:val="1"/>
    <w:qFormat/>
    <w:uiPriority w:val="99"/>
    <w:pPr>
      <w:widowControl/>
      <w:spacing w:before="100" w:beforeAutospacing="1" w:after="100" w:afterAutospacing="1"/>
      <w:jc w:val="left"/>
    </w:pPr>
    <w:rPr>
      <w:rFonts w:ascii="宋体" w:cs="宋体"/>
      <w:kern w:val="0"/>
      <w:sz w:val="24"/>
    </w:rPr>
  </w:style>
  <w:style w:type="paragraph" w:customStyle="1" w:styleId="30">
    <w:name w:val="DAS正文"/>
    <w:basedOn w:val="1"/>
    <w:qFormat/>
    <w:uiPriority w:val="0"/>
    <w:pPr>
      <w:spacing w:line="360" w:lineRule="auto"/>
      <w:ind w:right="181" w:firstLine="480" w:firstLineChars="200"/>
    </w:pPr>
    <w:rPr>
      <w:rFonts w:ascii="Verdana" w:hAnsi="Verdana"/>
    </w:rPr>
  </w:style>
  <w:style w:type="paragraph" w:customStyle="1" w:styleId="3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内文正文"/>
    <w:qFormat/>
    <w:uiPriority w:val="99"/>
    <w:pPr>
      <w:autoSpaceDE w:val="0"/>
      <w:autoSpaceDN w:val="0"/>
      <w:spacing w:line="400" w:lineRule="exact"/>
      <w:ind w:firstLine="200" w:firstLineChars="200"/>
      <w:jc w:val="both"/>
    </w:pPr>
    <w:rPr>
      <w:rFonts w:ascii="宋体" w:hAnsi="???|CS?o｡ﾀ?" w:eastAsia="宋体" w:cs="宋体"/>
      <w:sz w:val="21"/>
      <w:szCs w:val="21"/>
      <w:lang w:val="en-US" w:eastAsia="zh-CN" w:bidi="ar-SA"/>
    </w:rPr>
  </w:style>
  <w:style w:type="paragraph" w:styleId="33">
    <w:name w:val="List Paragraph"/>
    <w:basedOn w:val="1"/>
    <w:qFormat/>
    <w:uiPriority w:val="34"/>
    <w:pPr>
      <w:ind w:firstLine="420"/>
    </w:pPr>
  </w:style>
  <w:style w:type="paragraph" w:customStyle="1" w:styleId="3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_Style 1"/>
    <w:qFormat/>
    <w:uiPriority w:val="99"/>
    <w:rPr>
      <w:rFonts w:ascii="Calibri" w:hAnsi="Calibri" w:eastAsia="宋体" w:cs="Times New Roman"/>
      <w:kern w:val="2"/>
      <w:sz w:val="28"/>
      <w:szCs w:val="22"/>
      <w:lang w:val="en-US" w:eastAsia="zh-CN" w:bidi="ar-SA"/>
    </w:rPr>
  </w:style>
  <w:style w:type="paragraph" w:customStyle="1" w:styleId="36">
    <w:name w:val="正文文本缩进 21"/>
    <w:basedOn w:val="1"/>
    <w:qFormat/>
    <w:uiPriority w:val="0"/>
    <w:pPr>
      <w:ind w:firstLine="570"/>
    </w:pPr>
    <w:rPr>
      <w:sz w:val="32"/>
    </w:rPr>
  </w:style>
  <w:style w:type="paragraph" w:customStyle="1" w:styleId="37">
    <w:name w:val="列出段落1"/>
    <w:basedOn w:val="1"/>
    <w:qFormat/>
    <w:uiPriority w:val="1"/>
    <w:pPr>
      <w:autoSpaceDE w:val="0"/>
      <w:autoSpaceDN w:val="0"/>
      <w:ind w:left="688" w:firstLine="480"/>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1337</Words>
  <Characters>7625</Characters>
  <Lines>63</Lines>
  <Paragraphs>17</Paragraphs>
  <TotalTime>130</TotalTime>
  <ScaleCrop>false</ScaleCrop>
  <LinksUpToDate>false</LinksUpToDate>
  <CharactersWithSpaces>8945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2023-09-13T04:44:00Z</dcterms:created>
  <dc:creator>pc120</dc:creator>
  <cp:lastModifiedBy>admin</cp:lastModifiedBy>
  <dcterms:modified xsi:type="dcterms:W3CDTF">2023-09-25T01:05:03Z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415C44AAC990450AA4084E323A25301C_13</vt:lpwstr>
  </property>
</Properties>
</file>