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湖州师范学院理学院数据建模与分析重点实验室大数据与人工智能分析平台采购项目招标文件</w:t>
      </w:r>
    </w:p>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一、采购项目名称及货物清单及要求：</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sz w:val="24"/>
          <w:szCs w:val="24"/>
        </w:rPr>
        <w:t>1.项目名称：湖州师范学院理学院数据建模与分析重点实验室大数据与人工</w:t>
      </w:r>
      <w:r>
        <w:rPr>
          <w:rFonts w:hint="eastAsia" w:ascii="仿宋" w:hAnsi="仿宋" w:eastAsia="仿宋" w:cs="Times New Roman"/>
          <w:color w:val="auto"/>
          <w:sz w:val="24"/>
          <w:szCs w:val="24"/>
        </w:rPr>
        <w:t>智能分析平台采购项目</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2.采购项目编号：</w:t>
      </w:r>
      <w:r>
        <w:rPr>
          <w:rFonts w:ascii="仿宋" w:hAnsi="仿宋" w:eastAsia="仿宋" w:cs="Times New Roman"/>
          <w:color w:val="auto"/>
          <w:sz w:val="24"/>
          <w:szCs w:val="24"/>
        </w:rPr>
        <w:t>XZ</w:t>
      </w:r>
      <w:r>
        <w:rPr>
          <w:rFonts w:hint="eastAsia" w:ascii="仿宋" w:hAnsi="仿宋" w:eastAsia="仿宋" w:cs="Times New Roman"/>
          <w:color w:val="auto"/>
          <w:sz w:val="24"/>
          <w:szCs w:val="24"/>
        </w:rPr>
        <w:t>2023-026</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3.采购组织类型：分散采购自行组织</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4.采购方式：校内</w:t>
      </w:r>
      <w:r>
        <w:rPr>
          <w:rFonts w:hint="eastAsia" w:ascii="仿宋" w:hAnsi="仿宋" w:eastAsia="仿宋"/>
          <w:color w:val="auto"/>
          <w:sz w:val="24"/>
          <w:szCs w:val="24"/>
        </w:rPr>
        <w:t>公开招标</w:t>
      </w:r>
    </w:p>
    <w:p>
      <w:pPr>
        <w:ind w:firstLine="480" w:firstLineChars="200"/>
        <w:rPr>
          <w:rFonts w:ascii="仿宋" w:hAnsi="仿宋" w:eastAsia="仿宋"/>
          <w:color w:val="auto"/>
          <w:sz w:val="24"/>
        </w:rPr>
      </w:pPr>
      <w:r>
        <w:rPr>
          <w:rFonts w:hint="eastAsia" w:ascii="仿宋" w:hAnsi="仿宋" w:eastAsia="仿宋" w:cs="Times New Roman"/>
          <w:color w:val="auto"/>
          <w:sz w:val="24"/>
          <w:szCs w:val="24"/>
        </w:rPr>
        <w:t>5.采购预算：</w:t>
      </w:r>
      <w:r>
        <w:rPr>
          <w:rFonts w:hint="eastAsia" w:ascii="仿宋" w:hAnsi="仿宋" w:eastAsia="仿宋"/>
          <w:color w:val="auto"/>
          <w:sz w:val="24"/>
        </w:rPr>
        <w:t>人民币贰拾柒万壹仟元（￥271000元）</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6.</w:t>
      </w:r>
      <w:r>
        <w:rPr>
          <w:rFonts w:hint="eastAsia" w:ascii="仿宋" w:hAnsi="仿宋" w:eastAsia="仿宋"/>
          <w:color w:val="auto"/>
          <w:sz w:val="24"/>
        </w:rPr>
        <w:t>采购清单及要求，</w:t>
      </w:r>
      <w:r>
        <w:rPr>
          <w:rFonts w:hint="eastAsia" w:ascii="仿宋" w:hAnsi="仿宋" w:eastAsia="仿宋" w:cs="Times New Roman"/>
          <w:color w:val="auto"/>
          <w:sz w:val="24"/>
          <w:szCs w:val="24"/>
        </w:rPr>
        <w:t>包括名称、数量、</w:t>
      </w:r>
      <w:r>
        <w:rPr>
          <w:rFonts w:hint="eastAsia" w:ascii="仿宋" w:hAnsi="仿宋" w:eastAsia="仿宋"/>
          <w:color w:val="auto"/>
          <w:sz w:val="24"/>
          <w:szCs w:val="24"/>
        </w:rPr>
        <w:t>技术要求及服务要求</w:t>
      </w:r>
      <w:r>
        <w:rPr>
          <w:rFonts w:hint="eastAsia" w:ascii="仿宋" w:hAnsi="仿宋" w:eastAsia="仿宋" w:cs="Times New Roman"/>
          <w:color w:val="auto"/>
          <w:sz w:val="24"/>
          <w:szCs w:val="24"/>
        </w:rPr>
        <w:t>等</w:t>
      </w:r>
      <w:r>
        <w:rPr>
          <w:rFonts w:hint="eastAsia" w:ascii="仿宋" w:hAnsi="仿宋" w:eastAsia="仿宋"/>
          <w:color w:val="auto"/>
          <w:sz w:val="24"/>
        </w:rPr>
        <w:t>：（</w:t>
      </w:r>
      <w:r>
        <w:rPr>
          <w:rFonts w:hint="eastAsia" w:ascii="仿宋" w:hAnsi="仿宋" w:eastAsia="仿宋" w:cs="Times New Roman"/>
          <w:color w:val="auto"/>
          <w:sz w:val="24"/>
          <w:szCs w:val="24"/>
        </w:rPr>
        <w:t>见下表</w:t>
      </w:r>
      <w:r>
        <w:rPr>
          <w:rFonts w:hint="eastAsia" w:ascii="仿宋" w:hAnsi="仿宋" w:eastAsia="仿宋"/>
          <w:color w:val="auto"/>
          <w:sz w:val="24"/>
        </w:rPr>
        <w:t>）</w:t>
      </w:r>
    </w:p>
    <w:tbl>
      <w:tblPr>
        <w:tblStyle w:val="11"/>
        <w:tblW w:w="8870" w:type="dxa"/>
        <w:tblInd w:w="0" w:type="dxa"/>
        <w:tblLayout w:type="fixed"/>
        <w:tblCellMar>
          <w:top w:w="0" w:type="dxa"/>
          <w:left w:w="0" w:type="dxa"/>
          <w:bottom w:w="0" w:type="dxa"/>
          <w:right w:w="0" w:type="dxa"/>
        </w:tblCellMar>
      </w:tblPr>
      <w:tblGrid>
        <w:gridCol w:w="732"/>
        <w:gridCol w:w="893"/>
        <w:gridCol w:w="5979"/>
        <w:gridCol w:w="587"/>
        <w:gridCol w:w="679"/>
      </w:tblGrid>
      <w:tr>
        <w:tblPrEx>
          <w:tblCellMar>
            <w:top w:w="0" w:type="dxa"/>
            <w:left w:w="0" w:type="dxa"/>
            <w:bottom w:w="0" w:type="dxa"/>
            <w:right w:w="0" w:type="dxa"/>
          </w:tblCellMar>
        </w:tblPrEx>
        <w:trPr>
          <w:trHeight w:val="557"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名称</w:t>
            </w:r>
          </w:p>
        </w:tc>
        <w:tc>
          <w:tcPr>
            <w:tcW w:w="5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规格型号或技术参数、工程清单、服务要求</w:t>
            </w:r>
          </w:p>
        </w:tc>
        <w:tc>
          <w:tcPr>
            <w:tcW w:w="5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单位</w:t>
            </w:r>
          </w:p>
        </w:tc>
        <w:tc>
          <w:tcPr>
            <w:tcW w:w="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r>
      <w:tr>
        <w:tblPrEx>
          <w:tblCellMar>
            <w:top w:w="0" w:type="dxa"/>
            <w:left w:w="0" w:type="dxa"/>
            <w:bottom w:w="0" w:type="dxa"/>
            <w:right w:w="0" w:type="dxa"/>
          </w:tblCellMar>
        </w:tblPrEx>
        <w:trPr>
          <w:trHeight w:val="4022" w:hRule="atLeast"/>
        </w:trPr>
        <w:tc>
          <w:tcPr>
            <w:tcW w:w="7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lang w:bidi="ar"/>
              </w:rPr>
              <w:t>1</w:t>
            </w:r>
          </w:p>
        </w:tc>
        <w:tc>
          <w:tcPr>
            <w:tcW w:w="8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kern w:val="0"/>
                <w:sz w:val="24"/>
                <w:szCs w:val="24"/>
              </w:rPr>
            </w:pPr>
            <w:r>
              <w:rPr>
                <w:rFonts w:hint="eastAsia" w:ascii="仿宋" w:hAnsi="仿宋" w:eastAsia="仿宋" w:cs="仿宋"/>
                <w:color w:val="000000"/>
                <w:kern w:val="0"/>
                <w:sz w:val="24"/>
                <w:szCs w:val="24"/>
                <w:lang w:bidi="ar"/>
              </w:rPr>
              <w:t>大数据与人工智能分析管理平台</w:t>
            </w:r>
          </w:p>
        </w:tc>
        <w:tc>
          <w:tcPr>
            <w:tcW w:w="5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b/>
                <w:bCs/>
                <w:sz w:val="24"/>
                <w:szCs w:val="24"/>
              </w:rPr>
            </w:pPr>
            <w:r>
              <w:rPr>
                <w:rFonts w:hint="eastAsia" w:ascii="仿宋" w:hAnsi="仿宋" w:eastAsia="仿宋" w:cs="仿宋"/>
                <w:b/>
                <w:bCs/>
                <w:sz w:val="24"/>
                <w:szCs w:val="24"/>
              </w:rPr>
              <w:t>大数据与人工智能算法分析：</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sz w:val="24"/>
                <w:szCs w:val="24"/>
              </w:rPr>
              <w:t>1</w:t>
            </w:r>
            <w:r>
              <w:rPr>
                <w:rFonts w:hint="eastAsia" w:ascii="仿宋" w:hAnsi="仿宋" w:eastAsia="仿宋" w:cs="仿宋"/>
                <w:color w:val="000000"/>
                <w:kern w:val="0"/>
                <w:sz w:val="24"/>
                <w:szCs w:val="24"/>
              </w:rPr>
              <w:t>.系统采用B/S（Browser/Server）架构，支持跨平台使用，支持当前各种主流浏览器访问，支持基于校园网、互联网的应用，不限地理位置，可随时在线使用；</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2.系统无用户数限制，支持多用户并发访问，可支持多人同时在线使用；</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平台资源库区分公共资源池、组织资源库和个人资源池。公共资源池资源全员可见，可定期更新。个人资源池数据只可个人使用，支持个人上传资源至平台资源库中。个人资源库在通过审批后可支持入库公共资源池。教师可以将资源分享到组织资源库，供校内师生查看。</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平台配套编程客户端，可脱离平台，以安装包形式在主流Python/R编程平台进行算法模型的Python/R编程。编写后的算法代码可以同步至人工智能平台，自动生成研究资源库的算法组件。组件类型包含数据组件和算法组件，算法组件包含常见的机器学习和深度学习算法模型，算法组件种类不少于20种。</w:t>
            </w:r>
          </w:p>
          <w:p>
            <w:pPr>
              <w:widowControl/>
              <w:jc w:val="left"/>
              <w:textAlignment w:val="center"/>
              <w:rPr>
                <w:rFonts w:ascii="仿宋" w:hAnsi="仿宋" w:eastAsia="仿宋" w:cs="仿宋"/>
                <w:b/>
                <w:bCs/>
                <w:color w:val="000000"/>
                <w:kern w:val="0"/>
                <w:sz w:val="24"/>
                <w:szCs w:val="24"/>
              </w:rPr>
            </w:pPr>
            <w:r>
              <w:rPr>
                <w:rFonts w:hint="eastAsia" w:ascii="仿宋" w:hAnsi="仿宋" w:eastAsia="仿宋" w:cs="仿宋"/>
                <w:color w:val="000000"/>
                <w:kern w:val="0"/>
                <w:sz w:val="24"/>
                <w:szCs w:val="24"/>
              </w:rPr>
              <w:t>5.★平台允许用户自己从组件库中拖拉拽对应组件组成案例流程，并可以点击执行查看执行过程与执行结果。老师可以利用算法模型进行组合利用，形成新案例。通过不同的数据组件和算法组件可以构成不同的案例，案例数量不低于20个。案例组合成功后，可保存，可编辑修改，可自动执行，可一次执行形成结果报告，也可设置步骤多次执行形成结果。方便老师自定义研究内容。</w:t>
            </w:r>
            <w:r>
              <w:rPr>
                <w:rFonts w:hint="eastAsia" w:ascii="仿宋" w:hAnsi="仿宋" w:eastAsia="仿宋" w:cs="仿宋"/>
                <w:b/>
                <w:bCs/>
                <w:color w:val="000000"/>
                <w:kern w:val="0"/>
                <w:sz w:val="24"/>
                <w:szCs w:val="24"/>
              </w:rPr>
              <w:t>（要求提供演示视频）</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6.★平台同时也支持算法模块的Python/R编辑，支持组件之间连线，支持自动判断接口是否可对接，自动识别组件间接口的输入输出属性，可对算法组件间的出参和入参进行自动数据类型校验。</w:t>
            </w:r>
            <w:r>
              <w:rPr>
                <w:rFonts w:hint="eastAsia" w:ascii="仿宋" w:hAnsi="仿宋" w:eastAsia="仿宋" w:cs="仿宋"/>
                <w:b/>
                <w:bCs/>
                <w:color w:val="000000"/>
                <w:kern w:val="0"/>
                <w:sz w:val="24"/>
                <w:szCs w:val="24"/>
              </w:rPr>
              <w:t>（要求提供演示视频）</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7.平台能同时支持200人同时在线使用。单个登录用户可同时运行多个案例，允许用户编辑已有案例和算法组件。</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平台的资源文件要求是同时支持Markdown文件和支持在线案例演示和Python/R代码执行结果输出的新型交互式演示文件。文件在系统中可直接打开交互内容执行，无需在展示界面和实操系统界面中来回切换，方便展开交互式步骤。</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平台可方便不同数据，不同算法的研究需要，支持用户在页面中对演示案例进行动态算力调整，可对当前用户所执行的CPU和内存进行动态调配，无需额外进行虚拟机配置。算力用完可随时关闭节省费用。平台有统一算力容量设置管理后台，可对不同的研究对象提前进行算力分配，也可随时进行算力调配。所有的算力分配和调整均返可由管理员进行统计查看，可回收算力，可重新调配算力。</w:t>
            </w:r>
          </w:p>
          <w:p>
            <w:pPr>
              <w:widowControl/>
              <w:jc w:val="left"/>
              <w:textAlignment w:val="center"/>
              <w:rPr>
                <w:rFonts w:ascii="仿宋" w:hAnsi="仿宋" w:eastAsia="仿宋" w:cs="仿宋"/>
                <w:b/>
                <w:bCs/>
                <w:color w:val="000000"/>
                <w:kern w:val="0"/>
                <w:sz w:val="24"/>
                <w:szCs w:val="24"/>
              </w:rPr>
            </w:pPr>
            <w:r>
              <w:rPr>
                <w:rFonts w:hint="eastAsia" w:ascii="仿宋" w:hAnsi="仿宋" w:eastAsia="仿宋" w:cs="仿宋"/>
                <w:color w:val="000000"/>
                <w:kern w:val="0"/>
                <w:sz w:val="24"/>
                <w:szCs w:val="24"/>
              </w:rPr>
              <w:t>10.★支持在线Python/R组件执行引擎，支持在线算法组件的模块化设计，支持通过组建的案例和场景组合编程，支持可以通过简单的拖拉拽方式实现在线案例和场景设计，编程平台能自动识别链接的算法组建的接口输入输出属性，可对算法组件间的出参和入参进行自动数据类型校验，编程后的文件可保存，修改或者上传到个人。</w:t>
            </w:r>
            <w:r>
              <w:rPr>
                <w:rFonts w:hint="eastAsia" w:ascii="仿宋" w:hAnsi="仿宋" w:eastAsia="仿宋" w:cs="仿宋"/>
                <w:b/>
                <w:bCs/>
                <w:color w:val="000000"/>
                <w:kern w:val="0"/>
                <w:sz w:val="24"/>
                <w:szCs w:val="24"/>
              </w:rPr>
              <w:t>（要求提供演示视频）</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11.平台提供完善的组件生命周期管理，提供pycharm插件，支持IDE端Python/R代码下载和上传。方便老师进行组件的编写调试；</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平台提供案例，提供关联规则在金融行业研究项目，项目包含关联规则在股票行业、期货行业、金融行业三个不同应用场景的案例，每个案例场景都包含场景介绍、数据介绍、数据可视化分析、数据预处理，关联规则模型的构建，案例代码实现，模型结果与分析等七大模块。</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平台提供行业案例，提供期货量化交易策略构建的行业项目，项目包含趋势策略与套利策略两个不同方向的期货策略案例。每个案例场景都包含策略原理介绍和策略回测结果展示两大模块，详细讲解了策略的标的选择、仓位管理、入市规则、止盈止损、离市规则、参数优化、策略代码实现等核心内容。</w:t>
            </w:r>
            <w:r>
              <w:rPr>
                <w:rFonts w:hint="eastAsia" w:ascii="仿宋" w:hAnsi="仿宋" w:eastAsia="仿宋" w:cs="仿宋"/>
                <w:b/>
                <w:bCs/>
                <w:color w:val="000000"/>
                <w:kern w:val="0"/>
                <w:sz w:val="24"/>
                <w:szCs w:val="24"/>
              </w:rPr>
              <w:t>（要求提供平台功能截图）</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14.平台提供智能行业研究项目，项目主要内容为深度学习算法在股票行业研究的应用案例。案例场景包括行业选择、指标选择、算法类型、算法参数、策略时间、数据处理、神经网络、模型训练、行业公司、因子分布图，策略详情等十一大模块。</w:t>
            </w:r>
          </w:p>
          <w:p>
            <w:pPr>
              <w:widowControl/>
              <w:jc w:val="left"/>
              <w:textAlignment w:val="center"/>
              <w:rPr>
                <w:rFonts w:ascii="仿宋" w:hAnsi="仿宋" w:eastAsia="仿宋" w:cs="仿宋"/>
                <w:b/>
                <w:bCs/>
                <w:color w:val="000000"/>
                <w:kern w:val="0"/>
                <w:sz w:val="24"/>
                <w:szCs w:val="24"/>
              </w:rPr>
            </w:pPr>
            <w:r>
              <w:rPr>
                <w:rFonts w:hint="eastAsia" w:ascii="仿宋" w:hAnsi="仿宋" w:eastAsia="仿宋" w:cs="仿宋"/>
                <w:color w:val="000000"/>
                <w:kern w:val="0"/>
                <w:sz w:val="24"/>
                <w:szCs w:val="24"/>
              </w:rPr>
              <w:t>15.▲平台提供因子模型在金融行业分析项目，项目主要内容为因子分析在不同数量标的、不同数量因子的应用案例。案例场景包括因子分析视频、单标的因子分析、单天单因子多标的分析、单因子分析、单天多因子多标的分析等五大模块。</w:t>
            </w:r>
            <w:r>
              <w:rPr>
                <w:rFonts w:hint="eastAsia" w:ascii="仿宋" w:hAnsi="仿宋" w:eastAsia="仿宋" w:cs="仿宋"/>
                <w:b/>
                <w:bCs/>
                <w:color w:val="000000"/>
                <w:kern w:val="0"/>
                <w:sz w:val="24"/>
                <w:szCs w:val="24"/>
              </w:rPr>
              <w:t>（要求提供平台功能截图）</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16.▲平台提供多因子模型以及深度学习模型在金融行业分析项目，项目包含多因子模型和深度学习模型在选股方向的场景案例。每个案例场景包括案例说明、代码、结果示例，运行回测等四大模块。</w:t>
            </w:r>
            <w:r>
              <w:rPr>
                <w:rFonts w:hint="eastAsia" w:ascii="仿宋" w:hAnsi="仿宋" w:eastAsia="仿宋" w:cs="仿宋"/>
                <w:b/>
                <w:bCs/>
                <w:color w:val="000000"/>
                <w:kern w:val="0"/>
                <w:sz w:val="24"/>
                <w:szCs w:val="24"/>
              </w:rPr>
              <w:t>（要求提供平台功能截图）</w:t>
            </w:r>
          </w:p>
          <w:p>
            <w:pPr>
              <w:widowControl/>
              <w:jc w:val="left"/>
              <w:textAlignment w:val="center"/>
              <w:rPr>
                <w:rFonts w:ascii="仿宋" w:hAnsi="仿宋" w:eastAsia="仿宋" w:cs="仿宋"/>
                <w:b/>
                <w:bCs/>
                <w:color w:val="000000"/>
                <w:kern w:val="0"/>
                <w:sz w:val="24"/>
                <w:szCs w:val="24"/>
              </w:rPr>
            </w:pPr>
            <w:r>
              <w:rPr>
                <w:rFonts w:hint="eastAsia" w:ascii="仿宋" w:hAnsi="仿宋" w:eastAsia="仿宋" w:cs="仿宋"/>
                <w:color w:val="000000"/>
                <w:kern w:val="0"/>
                <w:sz w:val="24"/>
                <w:szCs w:val="24"/>
              </w:rPr>
              <w:t>17.▲平台提供上市公司财务数据分析案例：案例以上市公司财务报表数据为核心，进行充分的数据预处理和特征选择操作，对于缺失的数据，通过不同的标准和手段进行填补或删除。使用了逻辑回归、随机森林、K近邻、决策树回归以及多元线性回归等方法进行模型训练和数据分析，并进行超参数调优。通过对比并分析优化后的各个模型的准确率、精度、召回率、F1分数、AUC等多种指标，得到最优模型并对上市公司财务数据造假的案例进行分析预测。</w:t>
            </w:r>
            <w:r>
              <w:rPr>
                <w:rFonts w:hint="eastAsia" w:ascii="仿宋" w:hAnsi="仿宋" w:eastAsia="仿宋" w:cs="仿宋"/>
                <w:b/>
                <w:bCs/>
                <w:color w:val="000000"/>
                <w:kern w:val="0"/>
                <w:sz w:val="24"/>
                <w:szCs w:val="24"/>
              </w:rPr>
              <w:t>（要求提供平台功能截图）</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18.▲平台提供高送转数据分析案例：案例以上市公司高送转及相关数据为核心，进行充分的数据预处理和特征选择操作，使用了过采样，欠采样及SMOTE采样方法进行相应的处理工作。使用了逻辑回归、随机森林、K近邻、决策树回归以及多元线性回归等方法进行模型训练和数据分析，并进行超参数调优。通过对比并分析优化后的各个模型的准确率、精度、召回率、F1分数、AUC等多种指标，得到最优模型并对上市公司高送转的案例进行分析预测。</w:t>
            </w:r>
            <w:r>
              <w:rPr>
                <w:rFonts w:hint="eastAsia" w:ascii="仿宋" w:hAnsi="仿宋" w:eastAsia="仿宋" w:cs="仿宋"/>
                <w:b/>
                <w:bCs/>
                <w:color w:val="000000"/>
                <w:kern w:val="0"/>
                <w:sz w:val="24"/>
                <w:szCs w:val="24"/>
              </w:rPr>
              <w:t>（要求提供平台功能截图）</w:t>
            </w:r>
          </w:p>
          <w:p>
            <w:pPr>
              <w:widowControl/>
              <w:jc w:val="left"/>
              <w:textAlignment w:val="center"/>
              <w:rPr>
                <w:rFonts w:ascii="仿宋" w:hAnsi="仿宋" w:eastAsia="仿宋" w:cs="仿宋"/>
                <w:b/>
                <w:bCs/>
                <w:color w:val="000000"/>
                <w:kern w:val="0"/>
                <w:sz w:val="24"/>
                <w:szCs w:val="24"/>
              </w:rPr>
            </w:pPr>
            <w:r>
              <w:rPr>
                <w:rFonts w:hint="eastAsia" w:ascii="仿宋" w:hAnsi="仿宋" w:eastAsia="仿宋" w:cs="仿宋"/>
                <w:color w:val="000000"/>
                <w:kern w:val="0"/>
                <w:sz w:val="24"/>
                <w:szCs w:val="24"/>
              </w:rPr>
              <w:t>19.▲平台提供投资组合案例，案例针对CAMP模型的假设及论证、并通过对CAMP在多场景下的运用进行理论知识分析，同时提供投资组合模型案例，根据提供的股票池数据，使用者可以选择两资产组合模型、四资产组合模型、六资产组合模型分别进行有效前沿以及收益曲线的实操计算，还可下载相关数据及代码进行离线实操。</w:t>
            </w:r>
            <w:r>
              <w:rPr>
                <w:rFonts w:hint="eastAsia" w:ascii="仿宋" w:hAnsi="仿宋" w:eastAsia="仿宋" w:cs="仿宋"/>
                <w:b/>
                <w:bCs/>
                <w:color w:val="000000"/>
                <w:kern w:val="0"/>
                <w:sz w:val="24"/>
                <w:szCs w:val="24"/>
              </w:rPr>
              <w:t>（要求提供平台功能截图）</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20.▲平台提供金融风险管理案例，案例以A股新能源版块进行股票分析，进行单个资产风险与收益测度比较、数据探索性分析、投资组合风险与收益策略分析的综合分析，提供学习因子选股、构建投资组合、投资组合风险度量、构建投资策略、投资策略回测分析了解综合性的投资组合风险管理分析方法。</w:t>
            </w:r>
            <w:r>
              <w:rPr>
                <w:rFonts w:hint="eastAsia" w:ascii="仿宋" w:hAnsi="仿宋" w:eastAsia="仿宋" w:cs="仿宋"/>
                <w:b/>
                <w:bCs/>
                <w:color w:val="000000"/>
                <w:kern w:val="0"/>
                <w:sz w:val="24"/>
                <w:szCs w:val="24"/>
              </w:rPr>
              <w:t>（要求提供平台功能截图）</w:t>
            </w:r>
          </w:p>
          <w:p>
            <w:pPr>
              <w:pStyle w:val="10"/>
              <w:ind w:firstLine="0" w:firstLineChars="0"/>
              <w:rPr>
                <w:rFonts w:ascii="仿宋" w:hAnsi="仿宋" w:eastAsia="仿宋" w:cs="仿宋"/>
                <w:color w:val="000000"/>
                <w:kern w:val="0"/>
                <w:sz w:val="24"/>
                <w:szCs w:val="24"/>
              </w:rPr>
            </w:pPr>
            <w:r>
              <w:rPr>
                <w:rFonts w:hint="eastAsia" w:ascii="仿宋" w:hAnsi="仿宋" w:eastAsia="仿宋" w:cs="仿宋"/>
                <w:color w:val="000000"/>
                <w:kern w:val="0"/>
                <w:sz w:val="24"/>
                <w:szCs w:val="24"/>
              </w:rPr>
              <w:t>21.平台提供期货期权量化交易研究项目，平台提供股票期权、股指期货和股指期权等金融衍生品未来性、卖空性和杠杆性特点，提供择时策略、套利策略、对冲策略和投资组合保险策略等量化投资策略。</w:t>
            </w:r>
          </w:p>
        </w:tc>
        <w:tc>
          <w:tcPr>
            <w:tcW w:w="58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ind w:firstLine="240" w:firstLineChars="100"/>
              <w:contextualSpacing/>
              <w:jc w:val="center"/>
              <w:rPr>
                <w:rFonts w:ascii="仿宋" w:hAnsi="仿宋" w:eastAsia="仿宋" w:cs="仿宋"/>
                <w:color w:val="000000"/>
                <w:kern w:val="0"/>
                <w:sz w:val="24"/>
                <w:szCs w:val="24"/>
              </w:rPr>
            </w:pPr>
          </w:p>
          <w:p>
            <w:pPr>
              <w:widowControl/>
              <w:shd w:val="clear" w:color="auto" w:fill="FFFFFF"/>
              <w:spacing w:before="204" w:after="204"/>
              <w:ind w:firstLine="240" w:firstLineChars="100"/>
              <w:contextualSpacing/>
              <w:jc w:val="center"/>
              <w:rPr>
                <w:rFonts w:ascii="仿宋" w:hAnsi="仿宋" w:eastAsia="仿宋" w:cs="仿宋"/>
                <w:color w:val="000000"/>
                <w:kern w:val="0"/>
                <w:sz w:val="24"/>
                <w:szCs w:val="24"/>
              </w:rPr>
            </w:pPr>
          </w:p>
          <w:p>
            <w:pPr>
              <w:widowControl/>
              <w:shd w:val="clear" w:color="auto" w:fill="FFFFFF"/>
              <w:spacing w:before="204" w:after="204"/>
              <w:ind w:firstLine="240" w:firstLineChars="100"/>
              <w:contextualSpacing/>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67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center"/>
              <w:rPr>
                <w:rFonts w:ascii="仿宋" w:hAnsi="仿宋" w:eastAsia="仿宋" w:cs="仿宋"/>
                <w:color w:val="000000"/>
                <w:kern w:val="0"/>
                <w:sz w:val="24"/>
                <w:szCs w:val="24"/>
              </w:rPr>
            </w:pPr>
          </w:p>
          <w:p>
            <w:pPr>
              <w:widowControl/>
              <w:shd w:val="clear" w:color="auto" w:fill="FFFFFF"/>
              <w:spacing w:before="204" w:after="204"/>
              <w:contextualSpacing/>
              <w:jc w:val="center"/>
              <w:rPr>
                <w:rFonts w:ascii="仿宋" w:hAnsi="仿宋" w:eastAsia="仿宋" w:cs="仿宋"/>
                <w:color w:val="000000"/>
                <w:kern w:val="0"/>
                <w:sz w:val="24"/>
                <w:szCs w:val="24"/>
              </w:rPr>
            </w:pPr>
          </w:p>
          <w:p>
            <w:pPr>
              <w:widowControl/>
              <w:shd w:val="clear" w:color="auto" w:fill="FFFFFF"/>
              <w:spacing w:before="204" w:after="204"/>
              <w:contextualSpacing/>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r>
      <w:tr>
        <w:tblPrEx>
          <w:tblCellMar>
            <w:top w:w="0" w:type="dxa"/>
            <w:left w:w="0" w:type="dxa"/>
            <w:bottom w:w="0" w:type="dxa"/>
            <w:right w:w="0" w:type="dxa"/>
          </w:tblCellMar>
        </w:tblPrEx>
        <w:trPr>
          <w:trHeight w:val="731" w:hRule="atLeast"/>
        </w:trPr>
        <w:tc>
          <w:tcPr>
            <w:tcW w:w="73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rPr>
            </w:pPr>
          </w:p>
        </w:tc>
        <w:tc>
          <w:tcPr>
            <w:tcW w:w="89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kern w:val="0"/>
                <w:sz w:val="24"/>
                <w:szCs w:val="24"/>
              </w:rPr>
            </w:pPr>
          </w:p>
        </w:tc>
        <w:tc>
          <w:tcPr>
            <w:tcW w:w="5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707"/>
              </w:tabs>
              <w:jc w:val="left"/>
              <w:textAlignment w:val="center"/>
              <w:rPr>
                <w:rFonts w:ascii="仿宋" w:hAnsi="仿宋" w:eastAsia="仿宋" w:cs="仿宋"/>
                <w:b/>
                <w:bCs/>
                <w:sz w:val="24"/>
                <w:szCs w:val="24"/>
              </w:rPr>
            </w:pPr>
            <w:r>
              <w:rPr>
                <w:rFonts w:hint="eastAsia" w:ascii="仿宋" w:hAnsi="仿宋" w:eastAsia="仿宋" w:cs="仿宋"/>
                <w:b/>
                <w:bCs/>
                <w:sz w:val="24"/>
                <w:szCs w:val="24"/>
              </w:rPr>
              <w:t>大数据金融行业应用模拟分析</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1.▲平台包含数据挖掘类和机器学习算法（监督学习、无监督学习、半监督学习、集成学习、深度学习和强化学习。包括：决策树分类、随机森林分类器、朴素贝叶斯分类、K最近邻分类、支持向量机分类、K-means聚类、DBSCAN聚类、C4.5决策树，全连接神经网络FNN，卷积神经网络CNN，循环神经网络RNN，长短期记忆神经网络LSTM，自然语言处理NLP）。</w:t>
            </w:r>
            <w:r>
              <w:rPr>
                <w:rFonts w:hint="eastAsia" w:ascii="仿宋" w:hAnsi="仿宋" w:eastAsia="仿宋" w:cs="仿宋"/>
                <w:b/>
                <w:bCs/>
                <w:sz w:val="24"/>
                <w:szCs w:val="24"/>
              </w:rPr>
              <w:t>（要求提供平台功能截图）</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2.内置多种行业案例：投资市场预测、optivar股市波动率预测、股票高送转预测、上市公司财报造假预测、信用卡违约预测、波士顿房价预测、nlp案例（财报分析）、G-research加密货币预测、海星预测（NF）、货物销量预测 (NF)等案例</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3.支持老师进行在线编写代码，支持多媒体互动等文件格式，支持内嵌多种文件类型。包括PDF，WORD，PPT，录音，视频，代码等。学生在使用中，可以通过打开一个案例，即可获得多类格式的内嵌式交互学习。方便老师进行自己编写。</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4.具备课程资源及案例查看功能：用户可以使用不同维度来查看系统内部的资源内容，查看案例的说明，代码案例等资源。</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5.具备题库功能，可记录用户对每个知识点学习的结果以及答题的分数。支持对每个用户学习使用情况进行各类数据统计，支持实践成果的保存、修改。支持下达作业和学生上传作业功能。</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6.具备资源库的预览功能，可以通过权限设置，对组件代码或者数据内容进行预览。</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7.拥有金融类、统计类两个专业的课研资源，包含金融学优化方法、随机模拟、数理金融、应用多元统计分析及金融时间序列分析等，内容包含应用场景、数据集与实践代码。</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8.支持代码的在线运行和结果展示，并且每个案例代码均可逐步拆解，局部运行，支撑老师生动形象解释数学模型在金融场景上的应用，加深学生对相关理论的理解、认识和实践。</w:t>
            </w:r>
          </w:p>
          <w:p>
            <w:pPr>
              <w:widowControl/>
              <w:tabs>
                <w:tab w:val="left" w:pos="1707"/>
              </w:tabs>
              <w:jc w:val="left"/>
              <w:textAlignment w:val="center"/>
              <w:rPr>
                <w:rFonts w:ascii="仿宋" w:hAnsi="仿宋" w:eastAsia="仿宋" w:cs="仿宋"/>
                <w:b/>
                <w:bCs/>
                <w:sz w:val="24"/>
                <w:szCs w:val="24"/>
              </w:rPr>
            </w:pPr>
            <w:r>
              <w:rPr>
                <w:rFonts w:hint="eastAsia" w:ascii="仿宋" w:hAnsi="仿宋" w:eastAsia="仿宋" w:cs="仿宋"/>
                <w:sz w:val="24"/>
                <w:szCs w:val="24"/>
              </w:rPr>
              <w:t>9.▲支持在线免安装Python/R运行环境，调用云cci启动Python/R云环境进行在线编辑和代码运行，运行环境提供常用的python/r包，用户无需自己安装，方便用户使用，并可以在启动后灵活的添加数据文件到运行环境。</w:t>
            </w:r>
            <w:r>
              <w:rPr>
                <w:rFonts w:hint="eastAsia" w:ascii="仿宋" w:hAnsi="仿宋" w:eastAsia="仿宋" w:cs="仿宋"/>
                <w:b/>
                <w:bCs/>
                <w:sz w:val="24"/>
                <w:szCs w:val="24"/>
              </w:rPr>
              <w:t>（要求提供平台功能截图）</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10.支持引用本地上传数据集或系统提供数据集进行在线数据分析，并可以保存分析结果。</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11.支持Python/R运行结果保存为文件并下载到本地。</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12.支持实时监控当前用户云资源消耗情况和实例运行情况。</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13.支持用户选择合适的计算资源运行python/R代码，最低0.5核，1G内存，最高8核32G内存（可更高），用户可以根据使用场景选择不同的配置运行，满足用户的所有使用场景。</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14.支持一个用户同时启动多个运行实例运行不同案例代码。</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15.支持后台设置节点策略，动态调整云资源的运行，实现资源高可用性。</w:t>
            </w:r>
          </w:p>
          <w:p>
            <w:pPr>
              <w:widowControl/>
              <w:tabs>
                <w:tab w:val="left" w:pos="1707"/>
              </w:tabs>
              <w:jc w:val="left"/>
              <w:textAlignment w:val="center"/>
              <w:rPr>
                <w:rFonts w:ascii="仿宋" w:hAnsi="仿宋" w:eastAsia="仿宋" w:cs="仿宋"/>
                <w:b/>
                <w:bCs/>
                <w:sz w:val="24"/>
                <w:szCs w:val="24"/>
              </w:rPr>
            </w:pPr>
            <w:r>
              <w:rPr>
                <w:rFonts w:hint="eastAsia" w:ascii="仿宋" w:hAnsi="仿宋" w:eastAsia="仿宋" w:cs="仿宋"/>
                <w:sz w:val="24"/>
                <w:szCs w:val="24"/>
              </w:rPr>
              <w:t>16.▲内置应用多元统计分析及相关研究案例：每一个案例都是基于金融业务场景的，需要包含完整的样本数据库、应用场景、模型代码、模型运行结果，且支持代码的编辑以及计算；与应用多元统计分析中的回归分析、判别分析、聚类分析、主成分分析、因子分析、典型相关分析、偏最小二乘回归分析相关。每一个计算的模型需拥有至少1个完成的案例内容。不低于30个完整案例，每个小节提供对应的题目大纲，每一个模型需拥有至少1个完成的案例内容。</w:t>
            </w:r>
            <w:r>
              <w:rPr>
                <w:rFonts w:hint="eastAsia" w:ascii="仿宋" w:hAnsi="仿宋" w:eastAsia="仿宋" w:cs="仿宋"/>
                <w:b/>
                <w:bCs/>
                <w:sz w:val="24"/>
                <w:szCs w:val="24"/>
              </w:rPr>
              <w:t>（要求提供平台功能截图）</w:t>
            </w:r>
          </w:p>
          <w:p>
            <w:pPr>
              <w:widowControl/>
              <w:tabs>
                <w:tab w:val="left" w:pos="1707"/>
              </w:tabs>
              <w:jc w:val="left"/>
              <w:textAlignment w:val="center"/>
              <w:rPr>
                <w:rFonts w:ascii="仿宋" w:hAnsi="仿宋" w:eastAsia="仿宋" w:cs="仿宋"/>
                <w:b/>
                <w:bCs/>
                <w:sz w:val="24"/>
                <w:szCs w:val="24"/>
              </w:rPr>
            </w:pPr>
            <w:r>
              <w:rPr>
                <w:rFonts w:hint="eastAsia" w:ascii="仿宋" w:hAnsi="仿宋" w:eastAsia="仿宋" w:cs="仿宋"/>
                <w:sz w:val="24"/>
                <w:szCs w:val="24"/>
              </w:rPr>
              <w:t>17.▲内置金融时间序列分析及相关课程的研究案例：每一个案例需要包含完整的样本数据库、应用场景、模型代码、模型运行结果，且支持代码的编辑以及计算；涉及金融时间序列分析中的金融时间序列及其特征、线性时间序列分析及其应用、条件异方差模型、非线性模型及其应用、连续时间模型及其应用、多元时间序列分析及其应用、主成分分析和因子模型、多元波动率模型及其应用等知识点。每一个计算的模型需拥有至少1个完成的案例内容；需提供以上知识点或模型如何与金融应用相结合的大纲；不低于30个完整实务案例，每一个模型需拥有至少1个完成的案例内容；</w:t>
            </w:r>
            <w:r>
              <w:rPr>
                <w:rFonts w:hint="eastAsia" w:ascii="仿宋" w:hAnsi="仿宋" w:eastAsia="仿宋" w:cs="仿宋"/>
                <w:b/>
                <w:bCs/>
                <w:sz w:val="24"/>
                <w:szCs w:val="24"/>
              </w:rPr>
              <w:t>（要求提供平台功能截图）</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18.案例覆盖货币时间价值、债务和租赁、资本预算和折旧、盈亏平衡点和杠杆作用、投资、回报和风险等知识点，具体包括：单利、银行贴现、银行贴现、年金、信用和贷款抵押债券、资本预算、折旧与损耗、杠杆效应、盈亏平衡分析、股票、债券、期权、资本成本和比率分析、回报与风险的测量、资本资产定价模型；</w:t>
            </w:r>
          </w:p>
          <w:p>
            <w:pPr>
              <w:widowControl/>
              <w:tabs>
                <w:tab w:val="left" w:pos="1707"/>
              </w:tabs>
              <w:jc w:val="left"/>
              <w:textAlignment w:val="center"/>
              <w:rPr>
                <w:rFonts w:ascii="仿宋" w:hAnsi="仿宋" w:eastAsia="仿宋" w:cs="仿宋"/>
                <w:b/>
                <w:bCs/>
                <w:sz w:val="24"/>
                <w:szCs w:val="24"/>
              </w:rPr>
            </w:pPr>
            <w:r>
              <w:rPr>
                <w:rFonts w:hint="eastAsia" w:ascii="仿宋" w:hAnsi="仿宋" w:eastAsia="仿宋" w:cs="仿宋"/>
                <w:sz w:val="24"/>
                <w:szCs w:val="24"/>
              </w:rPr>
              <w:t>19.▲涉及具体模型包括线性规划模型、非线性规划、二次规划、二叉树模型、美式期权定价模型、随机规划模型、金融中的鲁棒优化模型等在金融实际中的定量化研究案例。每一个模型需拥有至少1个完成的案例内容。</w:t>
            </w:r>
            <w:r>
              <w:rPr>
                <w:rFonts w:hint="eastAsia" w:ascii="仿宋" w:hAnsi="仿宋" w:eastAsia="仿宋" w:cs="仿宋"/>
                <w:b/>
                <w:bCs/>
                <w:sz w:val="24"/>
                <w:szCs w:val="24"/>
              </w:rPr>
              <w:t>（要求提供平台功能截图）</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20.支持用户自己创建上传数据集，上传可以自动识别数据字段，提供数据预览，并可以申请发布数据集到公共数据列表，方便数据共享，管理员设置权限后即可给其他用户使用.</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21.支持用户编写代码案例，在线执行后可以保存执行结果，支持markdown格式编写文档，并可以通过申请将代码案例发布到代码市场，管理员分配权限后其他用户即可使用.</w:t>
            </w:r>
          </w:p>
          <w:p>
            <w:pPr>
              <w:widowControl/>
              <w:tabs>
                <w:tab w:val="left" w:pos="1707"/>
              </w:tabs>
              <w:jc w:val="left"/>
              <w:textAlignment w:val="center"/>
              <w:rPr>
                <w:rFonts w:ascii="仿宋" w:hAnsi="仿宋" w:eastAsia="仿宋" w:cs="仿宋"/>
                <w:sz w:val="24"/>
                <w:szCs w:val="24"/>
              </w:rPr>
            </w:pPr>
            <w:r>
              <w:rPr>
                <w:rFonts w:hint="eastAsia" w:ascii="仿宋" w:hAnsi="仿宋" w:eastAsia="仿宋" w:cs="仿宋"/>
                <w:sz w:val="24"/>
                <w:szCs w:val="24"/>
              </w:rPr>
              <w:t>22.支持用户自己构建案例研究内容，提供自研的案例编写格式，以图文代码和灵活的目录构建方式帮助用户构建案例，可以将创建案例申请发布到中心市场，由管理员审批后给其他用户使用. 方便知识分享.</w:t>
            </w:r>
          </w:p>
          <w:p>
            <w:pPr>
              <w:rPr>
                <w:rFonts w:ascii="仿宋" w:hAnsi="仿宋" w:eastAsia="仿宋" w:cs="仿宋"/>
                <w:sz w:val="24"/>
                <w:szCs w:val="24"/>
              </w:rPr>
            </w:pPr>
            <w:r>
              <w:rPr>
                <w:rFonts w:hint="eastAsia" w:ascii="仿宋" w:hAnsi="仿宋" w:eastAsia="仿宋" w:cs="仿宋"/>
                <w:sz w:val="24"/>
                <w:szCs w:val="24"/>
              </w:rPr>
              <w:t>23.监控平台资源使用情况，展示用户访问次数.</w:t>
            </w:r>
          </w:p>
        </w:tc>
        <w:tc>
          <w:tcPr>
            <w:tcW w:w="587" w:type="dxa"/>
            <w:vMerge w:val="continue"/>
            <w:tcBorders>
              <w:left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left"/>
              <w:rPr>
                <w:rFonts w:ascii="仿宋" w:hAnsi="仿宋" w:eastAsia="仿宋" w:cs="仿宋"/>
                <w:color w:val="000000"/>
                <w:kern w:val="0"/>
                <w:sz w:val="24"/>
                <w:szCs w:val="24"/>
              </w:rPr>
            </w:pPr>
          </w:p>
        </w:tc>
        <w:tc>
          <w:tcPr>
            <w:tcW w:w="679" w:type="dxa"/>
            <w:vMerge w:val="continue"/>
            <w:tcBorders>
              <w:left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left"/>
              <w:rPr>
                <w:rFonts w:ascii="仿宋" w:hAnsi="仿宋" w:eastAsia="仿宋" w:cs="仿宋"/>
                <w:color w:val="000000"/>
                <w:kern w:val="0"/>
                <w:sz w:val="24"/>
                <w:szCs w:val="24"/>
              </w:rPr>
            </w:pPr>
          </w:p>
        </w:tc>
      </w:tr>
      <w:tr>
        <w:tblPrEx>
          <w:tblCellMar>
            <w:top w:w="0" w:type="dxa"/>
            <w:left w:w="0" w:type="dxa"/>
            <w:bottom w:w="0" w:type="dxa"/>
            <w:right w:w="0" w:type="dxa"/>
          </w:tblCellMar>
        </w:tblPrEx>
        <w:trPr>
          <w:trHeight w:val="731" w:hRule="atLeast"/>
        </w:trPr>
        <w:tc>
          <w:tcPr>
            <w:tcW w:w="73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kern w:val="0"/>
                <w:sz w:val="24"/>
                <w:szCs w:val="24"/>
                <w:lang w:bidi="ar"/>
              </w:rPr>
            </w:pPr>
          </w:p>
        </w:tc>
        <w:tc>
          <w:tcPr>
            <w:tcW w:w="8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kern w:val="0"/>
                <w:sz w:val="24"/>
                <w:szCs w:val="24"/>
              </w:rPr>
            </w:pPr>
          </w:p>
        </w:tc>
        <w:tc>
          <w:tcPr>
            <w:tcW w:w="5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2072"/>
              </w:tabs>
              <w:jc w:val="left"/>
              <w:textAlignment w:val="center"/>
              <w:rPr>
                <w:rFonts w:ascii="仿宋" w:hAnsi="仿宋" w:eastAsia="仿宋" w:cs="仿宋"/>
                <w:b/>
                <w:bCs/>
                <w:sz w:val="24"/>
                <w:szCs w:val="24"/>
              </w:rPr>
            </w:pPr>
            <w:r>
              <w:rPr>
                <w:rFonts w:hint="eastAsia" w:ascii="仿宋" w:hAnsi="仿宋" w:eastAsia="仿宋" w:cs="仿宋"/>
                <w:b/>
                <w:bCs/>
                <w:sz w:val="24"/>
                <w:szCs w:val="24"/>
              </w:rPr>
              <w:t>管理平台：</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1.支持管理员创建学校，院系，专业，班级，构建学校组织体系</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2.支持后台导入教师和学生，将老师绑定到指定学校，将学生绑定到指定的班级</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3.支持计划表，学生、老师可以录入查看自己的课程安排信息</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4.支持教师新建研究课题，选择对应的班级进行授课，授课班级学生可以看到对应的授课信息</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5.支持教师上传可见，并可以选择对指定的班级开发下载</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6.支持教师给指定的班级发送公告</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7.支持任务分组，教师可以指定学生以小组的方式完成任务，小组支持随机分配</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8.支持教师布置作业，设置作业截止时间，作业可以对接平台支持的相关产品，学生提交作业时可以选择对应平台的资源进行提交动作</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9.支持教师打分，批改完成后可以公布成绩，教师可以查看作业的完成情况和学生作业详情，可以展示对应产品的资源内容</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10.系统在教师首页会展示今日收到作业，今日课程和待批改作业等数据，会统计不同作业的成绩情况</w:t>
            </w:r>
          </w:p>
          <w:p>
            <w:pPr>
              <w:widowControl/>
              <w:tabs>
                <w:tab w:val="left" w:pos="2072"/>
              </w:tabs>
              <w:jc w:val="left"/>
              <w:textAlignment w:val="center"/>
              <w:rPr>
                <w:rFonts w:ascii="仿宋" w:hAnsi="仿宋" w:eastAsia="仿宋" w:cs="仿宋"/>
                <w:sz w:val="24"/>
                <w:szCs w:val="24"/>
              </w:rPr>
            </w:pPr>
            <w:r>
              <w:rPr>
                <w:rFonts w:hint="eastAsia" w:ascii="仿宋" w:hAnsi="仿宋" w:eastAsia="仿宋" w:cs="仿宋"/>
                <w:sz w:val="24"/>
                <w:szCs w:val="24"/>
              </w:rPr>
              <w:t>11.学生首页可以查看未读公告，展示待提交作业，今日课程等信息</w:t>
            </w:r>
          </w:p>
          <w:p>
            <w:pPr>
              <w:pStyle w:val="2"/>
              <w:ind w:firstLine="0"/>
              <w:rPr>
                <w:rFonts w:ascii="仿宋" w:hAnsi="仿宋" w:eastAsia="仿宋" w:cs="仿宋"/>
                <w:sz w:val="24"/>
                <w:szCs w:val="24"/>
              </w:rPr>
            </w:pPr>
            <w:r>
              <w:rPr>
                <w:rFonts w:hint="eastAsia" w:ascii="仿宋" w:hAnsi="仿宋" w:eastAsia="仿宋" w:cs="仿宋"/>
                <w:sz w:val="24"/>
                <w:szCs w:val="24"/>
              </w:rPr>
              <w:t>12.学生可以上传自己的作业成果，老师批改后可查看成绩</w:t>
            </w:r>
          </w:p>
        </w:tc>
        <w:tc>
          <w:tcPr>
            <w:tcW w:w="58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ind w:firstLine="240" w:firstLineChars="100"/>
              <w:contextualSpacing/>
              <w:jc w:val="left"/>
              <w:rPr>
                <w:rFonts w:ascii="仿宋" w:hAnsi="仿宋" w:eastAsia="仿宋" w:cs="仿宋"/>
                <w:color w:val="000000"/>
                <w:kern w:val="0"/>
                <w:sz w:val="24"/>
                <w:szCs w:val="24"/>
              </w:rPr>
            </w:pPr>
          </w:p>
        </w:tc>
        <w:tc>
          <w:tcPr>
            <w:tcW w:w="67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left"/>
              <w:rPr>
                <w:rFonts w:ascii="仿宋" w:hAnsi="仿宋" w:eastAsia="仿宋" w:cs="仿宋"/>
                <w:color w:val="000000"/>
                <w:kern w:val="0"/>
                <w:sz w:val="24"/>
                <w:szCs w:val="24"/>
              </w:rPr>
            </w:pPr>
          </w:p>
        </w:tc>
      </w:tr>
      <w:tr>
        <w:tblPrEx>
          <w:tblCellMar>
            <w:top w:w="0" w:type="dxa"/>
            <w:left w:w="0" w:type="dxa"/>
            <w:bottom w:w="0" w:type="dxa"/>
            <w:right w:w="0" w:type="dxa"/>
          </w:tblCellMar>
        </w:tblPrEx>
        <w:trPr>
          <w:trHeight w:val="731" w:hRule="atLeast"/>
        </w:trPr>
        <w:tc>
          <w:tcPr>
            <w:tcW w:w="7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b/>
                <w:color w:val="000000"/>
                <w:kern w:val="0"/>
                <w:sz w:val="24"/>
                <w:szCs w:val="24"/>
                <w:lang w:bidi="ar"/>
              </w:rPr>
              <w:t>2</w:t>
            </w:r>
          </w:p>
        </w:tc>
        <w:tc>
          <w:tcPr>
            <w:tcW w:w="8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基于人工智能的深度学习模拟分析</w:t>
            </w:r>
          </w:p>
          <w:p>
            <w:pPr>
              <w:widowControl/>
              <w:jc w:val="center"/>
              <w:textAlignment w:val="center"/>
              <w:rPr>
                <w:rFonts w:ascii="仿宋" w:hAnsi="仿宋" w:eastAsia="仿宋" w:cs="仿宋"/>
                <w:b/>
                <w:bCs/>
                <w:color w:val="000000"/>
                <w:kern w:val="0"/>
                <w:sz w:val="24"/>
                <w:szCs w:val="24"/>
              </w:rPr>
            </w:pPr>
          </w:p>
        </w:tc>
        <w:tc>
          <w:tcPr>
            <w:tcW w:w="5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rFonts w:ascii="仿宋" w:hAnsi="仿宋" w:eastAsia="仿宋" w:cs="仿宋"/>
                <w:b/>
                <w:bCs/>
                <w:sz w:val="24"/>
                <w:szCs w:val="24"/>
              </w:rPr>
            </w:pPr>
            <w:r>
              <w:rPr>
                <w:rFonts w:hint="eastAsia" w:ascii="仿宋" w:hAnsi="仿宋" w:eastAsia="仿宋" w:cs="仿宋"/>
                <w:b/>
                <w:bCs/>
                <w:sz w:val="24"/>
                <w:szCs w:val="24"/>
              </w:rPr>
              <w:t>系</w:t>
            </w:r>
            <w:r>
              <w:rPr>
                <w:rFonts w:hint="eastAsia" w:ascii="仿宋" w:hAnsi="仿宋" w:eastAsia="仿宋" w:cs="仿宋"/>
                <w:b/>
                <w:bCs/>
                <w:color w:val="000000"/>
                <w:sz w:val="24"/>
                <w:szCs w:val="24"/>
              </w:rPr>
              <w:t xml:space="preserve">统要求 </w:t>
            </w:r>
          </w:p>
          <w:p>
            <w:pPr>
              <w:pStyle w:val="15"/>
              <w:ind w:firstLine="0" w:firstLineChars="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项目由B/S架构支持完成，无需安装第三方支撑软件或插件。</w:t>
            </w:r>
          </w:p>
          <w:p>
            <w:pPr>
              <w:pStyle w:val="15"/>
              <w:ind w:firstLine="0" w:firstLineChars="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有单独的项目门户对项目的相关信息进行展示，展示的内容包括：研究项目的相关信息、项目介绍视频、项目引导视频、研究课件资料、项目服务团队、网络相关要求、项目架构及研发技术、项目特色。网站的内容可在后台自行配置。</w:t>
            </w:r>
          </w:p>
          <w:p>
            <w:pPr>
              <w:pStyle w:val="15"/>
              <w:ind w:firstLine="0" w:firstLineChars="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提供研究项目展示信息管理功能，管理员可以维护研究项目的展示信息包括：项目名称、项目简介、项目原理、项目要求等信息。</w:t>
            </w:r>
          </w:p>
          <w:p>
            <w:pPr>
              <w:pStyle w:val="15"/>
              <w:ind w:firstLine="0" w:firstLineChars="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平台用户可以在项目内完成考核并查看研究报告，提交意见反馈。</w:t>
            </w:r>
          </w:p>
          <w:p>
            <w:pPr>
              <w:pStyle w:val="15"/>
              <w:ind w:firstLine="0" w:firstLineChars="0"/>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系统杜绝与第三方平台的捆绑和关联，确保系统的独立性。</w:t>
            </w:r>
          </w:p>
          <w:p>
            <w:pPr>
              <w:pStyle w:val="15"/>
              <w:ind w:firstLine="0" w:firstLineChars="0"/>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系统区分管理员和用户角色，管理员需要登录，登录后可以查看使用记录，管理相关研究的展示信息。</w:t>
            </w:r>
          </w:p>
          <w:p>
            <w:pPr>
              <w:pStyle w:val="15"/>
              <w:ind w:firstLine="0" w:firstLineChars="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制作项目简介视频和引导视频各一部（简介视频时长不低于3分钟；引导视频时长不低于5分钟；画面清晰、图像稳定，声音与画面同步且无杂音。视频要求：分辨率：1920*1080 25P或以上；编码：H.264，H.264/AVC High Profile Level 4.2或以上；封装格式：MP4；）；</w:t>
            </w:r>
          </w:p>
          <w:p>
            <w:pPr>
              <w:pStyle w:val="15"/>
              <w:ind w:firstLine="0" w:firstLineChars="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交互方式：键盘、鼠标；</w:t>
            </w:r>
          </w:p>
          <w:p>
            <w:pPr>
              <w:pStyle w:val="15"/>
              <w:ind w:firstLine="0" w:firstLineChars="0"/>
              <w:rPr>
                <w:rFonts w:ascii="仿宋" w:hAnsi="仿宋" w:eastAsia="仿宋" w:cs="仿宋"/>
                <w:sz w:val="24"/>
                <w:szCs w:val="24"/>
              </w:rPr>
            </w:pPr>
            <w:r>
              <w:rPr>
                <w:rFonts w:ascii="仿宋" w:hAnsi="仿宋" w:eastAsia="仿宋" w:cs="仿宋"/>
                <w:sz w:val="24"/>
                <w:szCs w:val="24"/>
              </w:rPr>
              <w:t>9.</w:t>
            </w:r>
            <w:r>
              <w:rPr>
                <w:rFonts w:hint="eastAsia" w:ascii="仿宋" w:hAnsi="仿宋" w:eastAsia="仿宋" w:cs="仿宋"/>
                <w:sz w:val="24"/>
                <w:szCs w:val="24"/>
              </w:rPr>
              <w:t>用户体验要求易用性、便利性和友好性；</w:t>
            </w:r>
          </w:p>
          <w:p>
            <w:pPr>
              <w:pStyle w:val="15"/>
              <w:ind w:firstLine="0" w:firstLineChars="0"/>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拥有用户意见反馈功能：用户可以提交对平台的意见、可以分页查看平台用户提交的意见；</w:t>
            </w:r>
          </w:p>
          <w:p>
            <w:pPr>
              <w:pStyle w:val="15"/>
              <w:ind w:firstLine="0" w:firstLineChars="0"/>
              <w:rPr>
                <w:rFonts w:ascii="仿宋" w:hAnsi="仿宋" w:eastAsia="仿宋" w:cs="仿宋"/>
                <w:sz w:val="24"/>
                <w:szCs w:val="24"/>
              </w:rPr>
            </w:pPr>
            <w:r>
              <w:rPr>
                <w:rFonts w:ascii="仿宋" w:hAnsi="仿宋" w:eastAsia="仿宋" w:cs="仿宋"/>
                <w:sz w:val="24"/>
                <w:szCs w:val="24"/>
              </w:rPr>
              <w:t>11.</w:t>
            </w:r>
            <w:r>
              <w:rPr>
                <w:rFonts w:hint="eastAsia" w:ascii="仿宋" w:hAnsi="仿宋" w:eastAsia="仿宋" w:cs="仿宋"/>
                <w:sz w:val="24"/>
                <w:szCs w:val="24"/>
              </w:rPr>
              <w:t>模拟分析考核（重要指标）：为强化用户理解，平台包含考核部分。考核内容至少包含3个选择题，3个填空题，选择题包含多选及单选，填空题采用完全匹配规则，考核完成后可以查看考核成绩。</w:t>
            </w:r>
          </w:p>
          <w:p>
            <w:pPr>
              <w:pStyle w:val="15"/>
              <w:ind w:firstLine="0" w:firstLineChars="0"/>
              <w:rPr>
                <w:rFonts w:ascii="仿宋" w:hAnsi="仿宋" w:eastAsia="仿宋" w:cs="仿宋"/>
                <w:sz w:val="24"/>
                <w:szCs w:val="24"/>
              </w:rPr>
            </w:pPr>
            <w:r>
              <w:rPr>
                <w:rFonts w:ascii="仿宋" w:hAnsi="仿宋" w:eastAsia="仿宋" w:cs="仿宋"/>
                <w:sz w:val="24"/>
                <w:szCs w:val="24"/>
              </w:rPr>
              <w:t>12.</w:t>
            </w:r>
            <w:r>
              <w:rPr>
                <w:rFonts w:hint="eastAsia" w:ascii="仿宋" w:hAnsi="仿宋" w:eastAsia="仿宋" w:cs="仿宋"/>
                <w:sz w:val="24"/>
                <w:szCs w:val="24"/>
              </w:rPr>
              <w:t>自动评分：评分由三部分构成，一是考核成绩，二是模拟分析完成度，三是步骤的选择正确性。考核的每道题得分为总分/题目数，任务完成度得分为用户页面查看重要页面数/重要页面数量，步骤的选择正确数/总步骤数。总分=考核成绩*0.7+任务完成度得分*0.1+正确步骤数*0.2。</w:t>
            </w:r>
          </w:p>
          <w:p>
            <w:pPr>
              <w:pStyle w:val="15"/>
              <w:ind w:firstLine="0" w:firstLineChars="0"/>
              <w:rPr>
                <w:rFonts w:ascii="仿宋" w:hAnsi="仿宋" w:eastAsia="仿宋" w:cs="仿宋"/>
                <w:sz w:val="24"/>
                <w:szCs w:val="24"/>
              </w:rPr>
            </w:pPr>
            <w:r>
              <w:rPr>
                <w:rFonts w:ascii="仿宋" w:hAnsi="仿宋" w:eastAsia="仿宋" w:cs="仿宋"/>
                <w:sz w:val="24"/>
                <w:szCs w:val="24"/>
              </w:rPr>
              <w:t>13.</w:t>
            </w:r>
            <w:r>
              <w:rPr>
                <w:rFonts w:hint="eastAsia" w:ascii="仿宋" w:hAnsi="仿宋" w:eastAsia="仿宋" w:cs="仿宋"/>
                <w:sz w:val="24"/>
                <w:szCs w:val="24"/>
              </w:rPr>
              <w:t>查看模拟报告：完成本次模拟和考核后可以查看模拟报告，模拟报告包含本次考核完成度，考核成绩及考核情况，支持导出pdf报告，退出或重新打开不可查看报告详情。</w:t>
            </w:r>
          </w:p>
          <w:p>
            <w:pPr>
              <w:pStyle w:val="15"/>
              <w:ind w:firstLine="0" w:firstLineChars="0"/>
              <w:rPr>
                <w:rFonts w:ascii="仿宋" w:hAnsi="仿宋" w:eastAsia="仿宋" w:cs="仿宋"/>
                <w:sz w:val="24"/>
                <w:szCs w:val="24"/>
              </w:rPr>
            </w:pPr>
            <w:r>
              <w:rPr>
                <w:rFonts w:ascii="仿宋" w:hAnsi="仿宋" w:eastAsia="仿宋" w:cs="仿宋"/>
                <w:sz w:val="24"/>
                <w:szCs w:val="24"/>
              </w:rPr>
              <w:t>14.</w:t>
            </w:r>
            <w:r>
              <w:rPr>
                <w:rFonts w:hint="eastAsia" w:ascii="仿宋" w:hAnsi="仿宋" w:eastAsia="仿宋" w:cs="仿宋"/>
                <w:sz w:val="24"/>
                <w:szCs w:val="24"/>
              </w:rPr>
              <w:t>项目内完整的内容资源：操作指引视频*1、平台操作手册*2（用户操作手册、后台配置手册）、数据分析原始数据*1、项目介绍*5（项目目的、项目原理、项目方法、项目背景、视频逐字稿）、考核题目*1、考核说明*1。</w:t>
            </w:r>
          </w:p>
          <w:p>
            <w:pPr>
              <w:pStyle w:val="15"/>
              <w:ind w:firstLine="0" w:firstLineChars="0"/>
              <w:rPr>
                <w:rFonts w:ascii="仿宋" w:hAnsi="仿宋" w:eastAsia="仿宋" w:cs="仿宋"/>
                <w:sz w:val="24"/>
                <w:szCs w:val="24"/>
              </w:rPr>
            </w:pPr>
            <w:r>
              <w:rPr>
                <w:rFonts w:ascii="仿宋" w:hAnsi="仿宋" w:eastAsia="仿宋" w:cs="仿宋"/>
                <w:sz w:val="24"/>
                <w:szCs w:val="24"/>
              </w:rPr>
              <w:t>15.</w:t>
            </w:r>
            <w:r>
              <w:rPr>
                <w:rFonts w:hint="eastAsia" w:ascii="仿宋" w:hAnsi="仿宋" w:eastAsia="仿宋" w:cs="仿宋"/>
                <w:sz w:val="24"/>
                <w:szCs w:val="24"/>
              </w:rPr>
              <w:t>性能说明：使用4核16G300GSSD数据盘的x86服务器部署的系统支持内网100人同时在线访问，公网50M带宽支持50人同时在线访问。</w:t>
            </w:r>
          </w:p>
          <w:p>
            <w:pPr>
              <w:pStyle w:val="15"/>
              <w:ind w:firstLine="0" w:firstLineChars="0"/>
              <w:rPr>
                <w:rFonts w:ascii="仿宋" w:hAnsi="仿宋" w:eastAsia="仿宋" w:cs="仿宋"/>
                <w:sz w:val="24"/>
                <w:szCs w:val="24"/>
              </w:rPr>
            </w:pPr>
            <w:r>
              <w:rPr>
                <w:rFonts w:ascii="仿宋" w:hAnsi="仿宋" w:eastAsia="仿宋" w:cs="仿宋"/>
                <w:sz w:val="24"/>
                <w:szCs w:val="24"/>
              </w:rPr>
              <w:t>16.</w:t>
            </w:r>
            <w:r>
              <w:rPr>
                <w:rFonts w:hint="eastAsia" w:ascii="仿宋" w:hAnsi="仿宋" w:eastAsia="仿宋" w:cs="仿宋"/>
                <w:sz w:val="24"/>
                <w:szCs w:val="24"/>
              </w:rPr>
              <w:t>文档要求：</w:t>
            </w:r>
          </w:p>
          <w:p>
            <w:pPr>
              <w:rPr>
                <w:rFonts w:ascii="仿宋" w:hAnsi="仿宋" w:eastAsia="仿宋" w:cs="仿宋"/>
                <w:sz w:val="24"/>
                <w:szCs w:val="24"/>
              </w:rPr>
            </w:pPr>
            <w:r>
              <w:rPr>
                <w:rFonts w:hint="eastAsia" w:ascii="仿宋" w:hAnsi="仿宋" w:eastAsia="仿宋" w:cs="仿宋"/>
                <w:sz w:val="24"/>
                <w:szCs w:val="24"/>
              </w:rPr>
              <w:t>（1）完善的开发设计文档：</w:t>
            </w:r>
          </w:p>
          <w:p>
            <w:pPr>
              <w:rPr>
                <w:rFonts w:ascii="仿宋" w:hAnsi="仿宋" w:eastAsia="仿宋" w:cs="仿宋"/>
                <w:sz w:val="24"/>
                <w:szCs w:val="24"/>
              </w:rPr>
            </w:pPr>
            <w:r>
              <w:rPr>
                <w:rFonts w:hint="eastAsia" w:ascii="仿宋" w:hAnsi="仿宋" w:eastAsia="仿宋" w:cs="仿宋"/>
                <w:sz w:val="24"/>
                <w:szCs w:val="24"/>
              </w:rPr>
              <w:t>1.1服务设计文档：描述各服务功能设计，代码结构，接口说明等内容的设计说明和设计图；</w:t>
            </w:r>
          </w:p>
          <w:p>
            <w:pPr>
              <w:rPr>
                <w:rFonts w:ascii="仿宋" w:hAnsi="仿宋" w:eastAsia="仿宋" w:cs="仿宋"/>
                <w:sz w:val="24"/>
                <w:szCs w:val="24"/>
              </w:rPr>
            </w:pPr>
            <w:r>
              <w:rPr>
                <w:rFonts w:hint="eastAsia" w:ascii="仿宋" w:hAnsi="仿宋" w:eastAsia="仿宋" w:cs="仿宋"/>
                <w:sz w:val="24"/>
                <w:szCs w:val="24"/>
              </w:rPr>
              <w:t>1.2产品架构文档：描述整个平台的服务关系和前后端架构。</w:t>
            </w:r>
          </w:p>
          <w:p>
            <w:pPr>
              <w:rPr>
                <w:rFonts w:ascii="仿宋" w:hAnsi="仿宋" w:eastAsia="仿宋" w:cs="仿宋"/>
                <w:sz w:val="24"/>
                <w:szCs w:val="24"/>
              </w:rPr>
            </w:pPr>
            <w:r>
              <w:rPr>
                <w:rFonts w:hint="eastAsia" w:ascii="仿宋" w:hAnsi="仿宋" w:eastAsia="仿宋" w:cs="仿宋"/>
                <w:sz w:val="24"/>
                <w:szCs w:val="24"/>
              </w:rPr>
              <w:t>（2）完善的服务及数据部署迁移文档：</w:t>
            </w:r>
          </w:p>
          <w:p>
            <w:pPr>
              <w:rPr>
                <w:rFonts w:ascii="仿宋" w:hAnsi="仿宋" w:eastAsia="仿宋" w:cs="仿宋"/>
                <w:sz w:val="24"/>
                <w:szCs w:val="24"/>
              </w:rPr>
            </w:pPr>
            <w:r>
              <w:rPr>
                <w:rFonts w:hint="eastAsia" w:ascii="仿宋" w:hAnsi="仿宋" w:eastAsia="仿宋" w:cs="仿宋"/>
                <w:sz w:val="24"/>
                <w:szCs w:val="24"/>
              </w:rPr>
              <w:t>2.1数据文件存储结构文档：说明数据文件的存储路径及文件结构，包含不同路径下数据文件的作用说明；</w:t>
            </w:r>
          </w:p>
          <w:p>
            <w:pPr>
              <w:rPr>
                <w:rFonts w:ascii="仿宋" w:hAnsi="仿宋" w:eastAsia="仿宋" w:cs="仿宋"/>
                <w:sz w:val="24"/>
                <w:szCs w:val="24"/>
              </w:rPr>
            </w:pPr>
            <w:r>
              <w:rPr>
                <w:rFonts w:hint="eastAsia" w:ascii="仿宋" w:hAnsi="仿宋" w:eastAsia="仿宋" w:cs="仿宋"/>
                <w:sz w:val="24"/>
                <w:szCs w:val="24"/>
              </w:rPr>
              <w:t>2.2服务迁移文档：说明平台服务的功能及相关操作（启动、关闭、重启）方式，说明服务的存放路径和服务使用到的相关资源关系；</w:t>
            </w:r>
          </w:p>
          <w:p>
            <w:pPr>
              <w:pStyle w:val="15"/>
              <w:ind w:firstLine="0" w:firstLineChars="0"/>
              <w:rPr>
                <w:rFonts w:ascii="仿宋" w:hAnsi="仿宋" w:eastAsia="仿宋" w:cs="仿宋"/>
                <w:color w:val="000000"/>
                <w:kern w:val="0"/>
                <w:sz w:val="24"/>
                <w:szCs w:val="24"/>
              </w:rPr>
            </w:pPr>
            <w:r>
              <w:rPr>
                <w:rFonts w:hint="eastAsia" w:ascii="仿宋" w:hAnsi="仿宋" w:eastAsia="仿宋" w:cs="仿宋"/>
                <w:sz w:val="24"/>
                <w:szCs w:val="24"/>
              </w:rPr>
              <w:t>2.3数据迁移备份文档：说明不同机器间迁移数据的方式和数据备份的方法。</w:t>
            </w:r>
          </w:p>
        </w:tc>
        <w:tc>
          <w:tcPr>
            <w:tcW w:w="58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套</w:t>
            </w:r>
          </w:p>
        </w:tc>
        <w:tc>
          <w:tcPr>
            <w:tcW w:w="67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ind w:firstLine="240" w:firstLineChars="100"/>
              <w:contextualSpacing/>
              <w:jc w:val="left"/>
              <w:rPr>
                <w:rFonts w:ascii="仿宋" w:hAnsi="仿宋" w:eastAsia="仿宋" w:cs="仿宋"/>
                <w:color w:val="000000"/>
                <w:kern w:val="0"/>
                <w:sz w:val="24"/>
                <w:szCs w:val="24"/>
              </w:rPr>
            </w:pPr>
          </w:p>
          <w:p>
            <w:pPr>
              <w:widowControl/>
              <w:shd w:val="clear" w:color="auto" w:fill="FFFFFF"/>
              <w:spacing w:before="204" w:after="204"/>
              <w:ind w:firstLine="240" w:firstLineChars="100"/>
              <w:contextualSpacing/>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p>
            <w:pPr>
              <w:widowControl/>
              <w:shd w:val="clear" w:color="auto" w:fill="FFFFFF"/>
              <w:spacing w:before="204" w:after="204"/>
              <w:contextualSpacing/>
              <w:jc w:val="left"/>
              <w:rPr>
                <w:rFonts w:ascii="仿宋" w:hAnsi="仿宋" w:eastAsia="仿宋" w:cs="仿宋"/>
                <w:color w:val="000000"/>
                <w:kern w:val="0"/>
                <w:sz w:val="24"/>
                <w:szCs w:val="24"/>
              </w:rPr>
            </w:pPr>
          </w:p>
        </w:tc>
      </w:tr>
      <w:tr>
        <w:tblPrEx>
          <w:tblCellMar>
            <w:top w:w="0" w:type="dxa"/>
            <w:left w:w="0" w:type="dxa"/>
            <w:bottom w:w="0" w:type="dxa"/>
            <w:right w:w="0" w:type="dxa"/>
          </w:tblCellMar>
        </w:tblPrEx>
        <w:trPr>
          <w:trHeight w:val="731" w:hRule="atLeast"/>
        </w:trPr>
        <w:tc>
          <w:tcPr>
            <w:tcW w:w="73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rPr>
            </w:pPr>
          </w:p>
        </w:tc>
        <w:tc>
          <w:tcPr>
            <w:tcW w:w="8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kern w:val="0"/>
                <w:sz w:val="24"/>
                <w:szCs w:val="24"/>
              </w:rPr>
            </w:pPr>
          </w:p>
        </w:tc>
        <w:tc>
          <w:tcPr>
            <w:tcW w:w="59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rFonts w:ascii="仿宋" w:hAnsi="仿宋" w:eastAsia="仿宋" w:cs="仿宋"/>
                <w:b/>
                <w:bCs/>
                <w:sz w:val="24"/>
                <w:szCs w:val="24"/>
              </w:rPr>
            </w:pPr>
            <w:r>
              <w:rPr>
                <w:rFonts w:hint="eastAsia" w:ascii="仿宋" w:hAnsi="仿宋" w:eastAsia="仿宋" w:cs="仿宋"/>
                <w:b/>
                <w:bCs/>
                <w:sz w:val="24"/>
                <w:szCs w:val="24"/>
              </w:rPr>
              <w:t>功能要求：</w:t>
            </w:r>
          </w:p>
          <w:p>
            <w:pPr>
              <w:ind w:left="322" w:hanging="321" w:hangingChars="134"/>
              <w:rPr>
                <w:rFonts w:ascii="仿宋" w:hAnsi="仿宋" w:eastAsia="仿宋" w:cs="仿宋"/>
                <w:sz w:val="24"/>
                <w:szCs w:val="24"/>
              </w:rPr>
            </w:pPr>
            <w:r>
              <w:rPr>
                <w:rFonts w:hint="eastAsia" w:ascii="仿宋" w:hAnsi="仿宋" w:eastAsia="仿宋" w:cs="仿宋"/>
                <w:sz w:val="24"/>
                <w:szCs w:val="24"/>
              </w:rPr>
              <w:t>1.该研究具备知识点查看功能：用户可以在知识点查看该平台项目使用到的重要知识点，总知识点不少于3条，至少包含以下相关知识点：</w:t>
            </w:r>
          </w:p>
          <w:p>
            <w:pPr>
              <w:ind w:left="306" w:leftChars="50" w:hanging="201" w:hangingChars="84"/>
              <w:rPr>
                <w:rFonts w:ascii="仿宋" w:hAnsi="仿宋" w:eastAsia="仿宋" w:cs="仿宋"/>
                <w:sz w:val="24"/>
                <w:szCs w:val="24"/>
              </w:rPr>
            </w:pPr>
            <w:r>
              <w:rPr>
                <w:rFonts w:hint="eastAsia" w:ascii="仿宋" w:hAnsi="仿宋" w:eastAsia="仿宋" w:cs="仿宋"/>
                <w:sz w:val="24"/>
                <w:szCs w:val="24"/>
              </w:rPr>
              <w:t>（1）神经网络历史；</w:t>
            </w:r>
          </w:p>
          <w:p>
            <w:pPr>
              <w:ind w:left="306" w:leftChars="50" w:hanging="201" w:hangingChars="84"/>
              <w:rPr>
                <w:rFonts w:ascii="仿宋" w:hAnsi="仿宋" w:eastAsia="仿宋" w:cs="仿宋"/>
                <w:sz w:val="24"/>
                <w:szCs w:val="24"/>
              </w:rPr>
            </w:pPr>
            <w:r>
              <w:rPr>
                <w:rFonts w:hint="eastAsia" w:ascii="仿宋" w:hAnsi="仿宋" w:eastAsia="仿宋" w:cs="仿宋"/>
                <w:sz w:val="24"/>
                <w:szCs w:val="24"/>
              </w:rPr>
              <w:t>（2）全连接神经网络；</w:t>
            </w:r>
          </w:p>
          <w:p>
            <w:pPr>
              <w:ind w:left="306" w:leftChars="50" w:hanging="201" w:hangingChars="84"/>
              <w:rPr>
                <w:rFonts w:ascii="仿宋" w:hAnsi="仿宋" w:eastAsia="仿宋" w:cs="仿宋"/>
                <w:sz w:val="24"/>
                <w:szCs w:val="24"/>
              </w:rPr>
            </w:pPr>
            <w:r>
              <w:rPr>
                <w:rFonts w:hint="eastAsia" w:ascii="仿宋" w:hAnsi="仿宋" w:eastAsia="仿宋" w:cs="仿宋"/>
                <w:sz w:val="24"/>
                <w:szCs w:val="24"/>
              </w:rPr>
              <w:t>（3）卷积神经网络；</w:t>
            </w:r>
          </w:p>
          <w:p>
            <w:pPr>
              <w:ind w:left="306" w:leftChars="50" w:hanging="201" w:hangingChars="84"/>
              <w:rPr>
                <w:rFonts w:ascii="仿宋" w:hAnsi="仿宋" w:eastAsia="仿宋" w:cs="仿宋"/>
                <w:sz w:val="24"/>
                <w:szCs w:val="24"/>
              </w:rPr>
            </w:pPr>
            <w:r>
              <w:rPr>
                <w:rFonts w:hint="eastAsia" w:ascii="仿宋" w:hAnsi="仿宋" w:eastAsia="仿宋" w:cs="仿宋"/>
                <w:sz w:val="24"/>
                <w:szCs w:val="24"/>
              </w:rPr>
              <w:t>（4）循环神经网络；</w:t>
            </w:r>
          </w:p>
          <w:p>
            <w:pPr>
              <w:ind w:left="322" w:hanging="321" w:hangingChars="134"/>
              <w:rPr>
                <w:rFonts w:ascii="仿宋" w:hAnsi="仿宋" w:eastAsia="仿宋" w:cs="仿宋"/>
                <w:sz w:val="24"/>
                <w:szCs w:val="24"/>
              </w:rPr>
            </w:pPr>
            <w:r>
              <w:rPr>
                <w:rFonts w:hint="eastAsia" w:ascii="仿宋" w:hAnsi="仿宋" w:eastAsia="仿宋" w:cs="仿宋"/>
                <w:sz w:val="24"/>
                <w:szCs w:val="24"/>
              </w:rPr>
              <w:t>2.★该平台模拟分析操作步骤不少于10个，至少包含以下步骤：</w:t>
            </w:r>
            <w:r>
              <w:rPr>
                <w:rFonts w:hint="eastAsia" w:ascii="仿宋" w:hAnsi="仿宋" w:eastAsia="仿宋" w:cs="仿宋"/>
                <w:b/>
                <w:bCs/>
                <w:sz w:val="24"/>
                <w:szCs w:val="24"/>
              </w:rPr>
              <w:t>（要求提供演示视频）</w:t>
            </w:r>
          </w:p>
          <w:p>
            <w:pPr>
              <w:rPr>
                <w:rFonts w:ascii="仿宋" w:hAnsi="仿宋" w:eastAsia="仿宋" w:cs="仿宋"/>
                <w:sz w:val="24"/>
                <w:szCs w:val="24"/>
              </w:rPr>
            </w:pPr>
            <w:r>
              <w:rPr>
                <w:rFonts w:hint="eastAsia" w:ascii="仿宋" w:hAnsi="仿宋" w:eastAsia="仿宋" w:cs="仿宋"/>
                <w:sz w:val="24"/>
                <w:szCs w:val="24"/>
              </w:rPr>
              <w:t>（1）对于前置理论知识的巩固：在流程中，任意主线以外的知识点将出现画中画按钮进行知识回顾；</w:t>
            </w:r>
          </w:p>
          <w:p>
            <w:pPr>
              <w:rPr>
                <w:rFonts w:ascii="仿宋" w:hAnsi="仿宋" w:eastAsia="仿宋" w:cs="仿宋"/>
                <w:sz w:val="24"/>
                <w:szCs w:val="24"/>
              </w:rPr>
            </w:pPr>
            <w:r>
              <w:rPr>
                <w:rFonts w:hint="eastAsia" w:ascii="仿宋" w:hAnsi="仿宋" w:eastAsia="仿宋" w:cs="仿宋"/>
                <w:sz w:val="24"/>
                <w:szCs w:val="24"/>
              </w:rPr>
              <w:t>（2）对于新知识点的复习：在流程中，每个章节出现的知识点也可以反复进行跳转查看；</w:t>
            </w:r>
          </w:p>
          <w:p>
            <w:pPr>
              <w:rPr>
                <w:rFonts w:ascii="仿宋" w:hAnsi="仿宋" w:eastAsia="仿宋" w:cs="仿宋"/>
                <w:sz w:val="24"/>
                <w:szCs w:val="24"/>
              </w:rPr>
            </w:pPr>
            <w:r>
              <w:rPr>
                <w:rFonts w:hint="eastAsia" w:ascii="仿宋" w:hAnsi="仿宋" w:eastAsia="仿宋" w:cs="仿宋"/>
                <w:sz w:val="24"/>
                <w:szCs w:val="24"/>
              </w:rPr>
              <w:t>（3）对于特征概念的解析和理解：通过区分外国人，理解人眼对于特征的判断；</w:t>
            </w:r>
          </w:p>
          <w:p>
            <w:pPr>
              <w:rPr>
                <w:rFonts w:ascii="仿宋" w:hAnsi="仿宋" w:eastAsia="仿宋" w:cs="仿宋"/>
                <w:sz w:val="24"/>
                <w:szCs w:val="24"/>
              </w:rPr>
            </w:pPr>
            <w:r>
              <w:rPr>
                <w:rFonts w:hint="eastAsia" w:ascii="仿宋" w:hAnsi="仿宋" w:eastAsia="仿宋" w:cs="仿宋"/>
                <w:sz w:val="24"/>
                <w:szCs w:val="24"/>
              </w:rPr>
              <w:t>（4）对于单层感知机的运行原理的解析：图解单层感知机的计算方式，通过自主输入参数，权重，偏置，以及激活函数得到最后的结果；</w:t>
            </w:r>
          </w:p>
          <w:p>
            <w:pPr>
              <w:rPr>
                <w:rFonts w:ascii="仿宋" w:hAnsi="仿宋" w:eastAsia="仿宋" w:cs="仿宋"/>
                <w:sz w:val="24"/>
                <w:szCs w:val="24"/>
              </w:rPr>
            </w:pPr>
            <w:r>
              <w:rPr>
                <w:rFonts w:hint="eastAsia" w:ascii="仿宋" w:hAnsi="仿宋" w:eastAsia="仿宋" w:cs="仿宋"/>
                <w:sz w:val="24"/>
                <w:szCs w:val="24"/>
              </w:rPr>
              <w:t>（5）对于全连接神经网络的结构：图解全连接神经网络模型，通过自主输入输入层节点数，隐藏层层数，隐藏层节点数 进行查看全连接神经网络的概念；</w:t>
            </w:r>
          </w:p>
          <w:p>
            <w:pPr>
              <w:rPr>
                <w:rFonts w:ascii="仿宋" w:hAnsi="仿宋" w:eastAsia="仿宋" w:cs="仿宋"/>
                <w:sz w:val="24"/>
                <w:szCs w:val="24"/>
              </w:rPr>
            </w:pPr>
            <w:r>
              <w:rPr>
                <w:rFonts w:hint="eastAsia" w:ascii="仿宋" w:hAnsi="仿宋" w:eastAsia="仿宋" w:cs="仿宋"/>
                <w:sz w:val="24"/>
                <w:szCs w:val="24"/>
              </w:rPr>
              <w:t>（6）对于过滤器的概念：通过大中小球的交互判断，理解过滤器的标准化对于“中”的定义的重要性；</w:t>
            </w:r>
          </w:p>
          <w:p>
            <w:pPr>
              <w:rPr>
                <w:rFonts w:ascii="仿宋" w:hAnsi="仿宋" w:eastAsia="仿宋" w:cs="仿宋"/>
                <w:sz w:val="24"/>
                <w:szCs w:val="24"/>
              </w:rPr>
            </w:pPr>
            <w:r>
              <w:rPr>
                <w:rFonts w:hint="eastAsia" w:ascii="仿宋" w:hAnsi="仿宋" w:eastAsia="仿宋" w:cs="仿宋"/>
                <w:sz w:val="24"/>
                <w:szCs w:val="24"/>
              </w:rPr>
              <w:t>（7）对于特征检测符的概念：通过猫狗特征（如耳朵形状）进行检测，引出卷积核作为特征检测符的定义；</w:t>
            </w:r>
          </w:p>
          <w:p>
            <w:pPr>
              <w:rPr>
                <w:rFonts w:ascii="仿宋" w:hAnsi="仿宋" w:eastAsia="仿宋" w:cs="仿宋"/>
                <w:sz w:val="24"/>
                <w:szCs w:val="24"/>
              </w:rPr>
            </w:pPr>
            <w:r>
              <w:rPr>
                <w:rFonts w:hint="eastAsia" w:ascii="仿宋" w:hAnsi="仿宋" w:eastAsia="仿宋" w:cs="仿宋"/>
                <w:sz w:val="24"/>
                <w:szCs w:val="24"/>
              </w:rPr>
              <w:t>（8）主流程查看：通过一步步交互式引导，理解各个神经网络模型；</w:t>
            </w:r>
          </w:p>
          <w:p>
            <w:pPr>
              <w:rPr>
                <w:rFonts w:ascii="仿宋" w:hAnsi="仿宋" w:eastAsia="仿宋" w:cs="仿宋"/>
                <w:sz w:val="24"/>
                <w:szCs w:val="24"/>
              </w:rPr>
            </w:pPr>
            <w:r>
              <w:rPr>
                <w:rFonts w:hint="eastAsia" w:ascii="仿宋" w:hAnsi="仿宋" w:eastAsia="仿宋" w:cs="仿宋"/>
                <w:sz w:val="24"/>
                <w:szCs w:val="24"/>
              </w:rPr>
              <w:t>（9）对于现实问题的数学思维转化：从现实场景出发，引导理解模型的现实运用；</w:t>
            </w:r>
          </w:p>
          <w:p>
            <w:pPr>
              <w:rPr>
                <w:rFonts w:ascii="仿宋" w:hAnsi="仿宋" w:eastAsia="仿宋" w:cs="仿宋"/>
                <w:sz w:val="24"/>
                <w:szCs w:val="24"/>
              </w:rPr>
            </w:pPr>
            <w:r>
              <w:rPr>
                <w:rFonts w:hint="eastAsia" w:ascii="仿宋" w:hAnsi="仿宋" w:eastAsia="仿宋" w:cs="仿宋"/>
                <w:sz w:val="24"/>
                <w:szCs w:val="24"/>
              </w:rPr>
              <w:t>（10）对于传统机器学习模型的概念区分：作为前置入门门槛，以协助理解神经网络的理解；</w:t>
            </w:r>
          </w:p>
          <w:p>
            <w:pPr>
              <w:rPr>
                <w:rFonts w:ascii="仿宋" w:hAnsi="仿宋" w:eastAsia="仿宋" w:cs="仿宋"/>
                <w:sz w:val="24"/>
                <w:szCs w:val="24"/>
              </w:rPr>
            </w:pPr>
            <w:r>
              <w:rPr>
                <w:rFonts w:hint="eastAsia" w:ascii="仿宋" w:hAnsi="仿宋" w:eastAsia="仿宋" w:cs="仿宋"/>
                <w:sz w:val="24"/>
                <w:szCs w:val="24"/>
              </w:rPr>
              <w:t>（11）对于全连接神经网络应用于红酒分类预测：案例代码形式展开预测分类，将整个流程各个模块进行分解，理解主流程的步骤的重点和实现方法；</w:t>
            </w:r>
          </w:p>
          <w:p>
            <w:pPr>
              <w:rPr>
                <w:rFonts w:ascii="仿宋" w:hAnsi="仿宋" w:eastAsia="仿宋" w:cs="仿宋"/>
                <w:sz w:val="24"/>
                <w:szCs w:val="24"/>
              </w:rPr>
            </w:pPr>
            <w:r>
              <w:rPr>
                <w:rFonts w:hint="eastAsia" w:ascii="仿宋" w:hAnsi="仿宋" w:eastAsia="仿宋" w:cs="仿宋"/>
                <w:sz w:val="24"/>
                <w:szCs w:val="24"/>
              </w:rPr>
              <w:t>（12）对于卷积神经网络应用于轮廓检测：案例代码形式展开轮廓检测，整个流程各个模块进行分解，理解主流程的步骤的重点和实现方法，理解索贝尔算子等概念的实现原理；</w:t>
            </w:r>
          </w:p>
          <w:p>
            <w:pPr>
              <w:rPr>
                <w:rFonts w:ascii="仿宋" w:hAnsi="仿宋" w:eastAsia="仿宋" w:cs="仿宋"/>
                <w:sz w:val="24"/>
                <w:szCs w:val="24"/>
              </w:rPr>
            </w:pPr>
            <w:r>
              <w:rPr>
                <w:rFonts w:hint="eastAsia" w:ascii="仿宋" w:hAnsi="仿宋" w:eastAsia="仿宋" w:cs="仿宋"/>
                <w:sz w:val="24"/>
                <w:szCs w:val="24"/>
              </w:rPr>
              <w:t>（13）对于卷积神经网络应用于手写数字识别：案例代码形式展开手写数字识别，整个流程各个模块进行分解，理解主流程的步骤的重点和实现方法（设置卷积层池化层参数等）；</w:t>
            </w:r>
          </w:p>
          <w:p>
            <w:pPr>
              <w:rPr>
                <w:rFonts w:ascii="仿宋" w:hAnsi="仿宋" w:eastAsia="仿宋" w:cs="仿宋"/>
                <w:sz w:val="24"/>
                <w:szCs w:val="24"/>
              </w:rPr>
            </w:pPr>
            <w:r>
              <w:rPr>
                <w:rFonts w:hint="eastAsia" w:ascii="仿宋" w:hAnsi="仿宋" w:eastAsia="仿宋" w:cs="仿宋"/>
                <w:sz w:val="24"/>
                <w:szCs w:val="24"/>
              </w:rPr>
              <w:t>（14）对于循环神经网络（LSTM）应用于股票价格预测：案例代码形式展开时间序列分析，整个流程各个模块进行分解，理解主流程的步骤的重点和实现方法，同时巩固时间序列分析的重点处理方法（平稳性检验，自相关性检验）等；</w:t>
            </w:r>
          </w:p>
          <w:p>
            <w:pPr>
              <w:widowControl/>
              <w:textAlignment w:val="center"/>
              <w:rPr>
                <w:rFonts w:ascii="仿宋" w:hAnsi="仿宋" w:eastAsia="仿宋" w:cs="仿宋"/>
                <w:sz w:val="24"/>
                <w:szCs w:val="24"/>
              </w:rPr>
            </w:pPr>
            <w:r>
              <w:rPr>
                <w:rFonts w:hint="eastAsia" w:ascii="仿宋" w:hAnsi="仿宋" w:eastAsia="仿宋" w:cs="仿宋"/>
                <w:sz w:val="24"/>
                <w:szCs w:val="24"/>
              </w:rPr>
              <w:t>（15）对于自然语言处理之机器翻译：案例代码形式展开机器翻译，整个流程各个模块进行分解，理解主流程的步骤的重点和实现方法（分词，向量化等）</w:t>
            </w:r>
          </w:p>
        </w:tc>
        <w:tc>
          <w:tcPr>
            <w:tcW w:w="58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left"/>
              <w:rPr>
                <w:rFonts w:ascii="仿宋" w:hAnsi="仿宋" w:eastAsia="仿宋" w:cs="仿宋"/>
                <w:color w:val="000000"/>
                <w:kern w:val="0"/>
                <w:sz w:val="24"/>
                <w:szCs w:val="24"/>
              </w:rPr>
            </w:pPr>
          </w:p>
        </w:tc>
        <w:tc>
          <w:tcPr>
            <w:tcW w:w="67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204" w:after="204"/>
              <w:contextualSpacing/>
              <w:jc w:val="left"/>
              <w:rPr>
                <w:rFonts w:ascii="仿宋" w:hAnsi="仿宋" w:eastAsia="仿宋" w:cs="仿宋"/>
                <w:color w:val="000000"/>
                <w:kern w:val="0"/>
                <w:sz w:val="24"/>
                <w:szCs w:val="24"/>
              </w:rPr>
            </w:pPr>
          </w:p>
        </w:tc>
      </w:tr>
    </w:tbl>
    <w:p>
      <w:pPr>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注</w:t>
      </w:r>
      <w:r>
        <w:rPr>
          <w:rFonts w:hint="eastAsia" w:ascii="仿宋" w:hAnsi="仿宋" w:eastAsia="仿宋"/>
          <w:sz w:val="24"/>
          <w:szCs w:val="24"/>
          <w:highlight w:val="none"/>
          <w:lang w:val="zh-CN"/>
        </w:rPr>
        <w:t>1</w:t>
      </w:r>
      <w:r>
        <w:rPr>
          <w:rFonts w:hint="eastAsia" w:ascii="仿宋" w:hAnsi="仿宋" w:eastAsia="仿宋"/>
          <w:sz w:val="24"/>
          <w:szCs w:val="24"/>
          <w:highlight w:val="none"/>
        </w:rPr>
        <w:t>.</w:t>
      </w:r>
      <w:r>
        <w:rPr>
          <w:rFonts w:hint="eastAsia" w:ascii="仿宋" w:hAnsi="仿宋" w:eastAsia="仿宋"/>
          <w:sz w:val="24"/>
          <w:szCs w:val="24"/>
          <w:highlight w:val="none"/>
          <w:lang w:val="zh-CN"/>
        </w:rPr>
        <w:t>以上</w:t>
      </w:r>
      <w:r>
        <w:rPr>
          <w:rFonts w:hint="eastAsia" w:ascii="仿宋" w:hAnsi="仿宋" w:eastAsia="仿宋"/>
          <w:sz w:val="24"/>
          <w:szCs w:val="24"/>
          <w:highlight w:val="none"/>
        </w:rPr>
        <w:t>带★参数要求在招投标文件中提供平台功能演示视频截图；</w:t>
      </w:r>
    </w:p>
    <w:p>
      <w:pPr>
        <w:ind w:firstLine="480" w:firstLineChars="200"/>
        <w:jc w:val="left"/>
        <w:rPr>
          <w:rFonts w:ascii="仿宋" w:hAnsi="仿宋" w:eastAsia="仿宋"/>
          <w:sz w:val="24"/>
          <w:szCs w:val="24"/>
        </w:rPr>
      </w:pPr>
      <w:r>
        <w:rPr>
          <w:rFonts w:hint="eastAsia" w:ascii="仿宋" w:hAnsi="仿宋" w:eastAsia="仿宋"/>
          <w:sz w:val="24"/>
          <w:szCs w:val="24"/>
        </w:rPr>
        <w:t>注</w:t>
      </w:r>
      <w:r>
        <w:rPr>
          <w:rFonts w:hint="eastAsia" w:ascii="仿宋" w:hAnsi="仿宋" w:eastAsia="仿宋"/>
          <w:sz w:val="24"/>
          <w:szCs w:val="24"/>
          <w:lang w:val="zh-CN"/>
        </w:rPr>
        <w:t>2</w:t>
      </w:r>
      <w:r>
        <w:rPr>
          <w:rFonts w:hint="eastAsia" w:ascii="仿宋" w:hAnsi="仿宋" w:eastAsia="仿宋"/>
          <w:sz w:val="24"/>
          <w:szCs w:val="24"/>
        </w:rPr>
        <w:t>.以上带▲参数要求在招投标文件中提供平台功能截图证明；</w:t>
      </w:r>
    </w:p>
    <w:p>
      <w:pPr>
        <w:ind w:firstLine="480" w:firstLineChars="200"/>
        <w:jc w:val="left"/>
        <w:rPr>
          <w:rFonts w:ascii="仿宋" w:hAnsi="仿宋" w:eastAsia="仿宋"/>
          <w:sz w:val="24"/>
          <w:szCs w:val="24"/>
          <w:lang w:val="zh-CN"/>
        </w:rPr>
      </w:pPr>
      <w:r>
        <w:rPr>
          <w:rFonts w:hint="eastAsia" w:ascii="仿宋" w:hAnsi="仿宋" w:eastAsia="仿宋"/>
          <w:sz w:val="24"/>
          <w:szCs w:val="24"/>
        </w:rPr>
        <w:t>注3.</w:t>
      </w:r>
      <w:r>
        <w:rPr>
          <w:rFonts w:hint="eastAsia" w:ascii="仿宋" w:hAnsi="仿宋" w:eastAsia="仿宋"/>
          <w:sz w:val="24"/>
          <w:szCs w:val="24"/>
          <w:lang w:val="zh-CN"/>
        </w:rPr>
        <w:t>以上</w:t>
      </w:r>
      <w:r>
        <w:rPr>
          <w:rFonts w:hint="eastAsia" w:ascii="仿宋" w:hAnsi="仿宋" w:eastAsia="仿宋"/>
          <w:sz w:val="24"/>
          <w:szCs w:val="24"/>
        </w:rPr>
        <w:t>软件产品必须拥有自主知识产权与独立的软件版权，代理公司必须有厂商的授权（提供授权书）</w:t>
      </w:r>
      <w:r>
        <w:rPr>
          <w:rFonts w:hint="eastAsia" w:ascii="仿宋" w:hAnsi="仿宋" w:eastAsia="仿宋"/>
          <w:sz w:val="24"/>
          <w:szCs w:val="24"/>
          <w:lang w:val="zh-CN"/>
        </w:rPr>
        <w:t>及售后服务承诺书。</w:t>
      </w:r>
    </w:p>
    <w:p>
      <w:pPr>
        <w:ind w:firstLine="480" w:firstLineChars="200"/>
        <w:jc w:val="left"/>
        <w:rPr>
          <w:rFonts w:ascii="仿宋" w:hAnsi="仿宋" w:eastAsia="仿宋"/>
          <w:sz w:val="24"/>
          <w:szCs w:val="24"/>
        </w:rPr>
      </w:pPr>
      <w:r>
        <w:rPr>
          <w:rFonts w:hint="eastAsia" w:ascii="仿宋" w:hAnsi="仿宋" w:eastAsia="仿宋"/>
          <w:sz w:val="24"/>
          <w:szCs w:val="24"/>
        </w:rPr>
        <w:t>注4：采购人享有大数据与人工智能分析平台软件的永久使用权，中标人如在软件开发中涉及第三方知识产权纠纷，由中标人承担一切法律责任。</w:t>
      </w:r>
    </w:p>
    <w:p>
      <w:pPr>
        <w:ind w:firstLine="480" w:firstLineChars="200"/>
        <w:jc w:val="left"/>
        <w:rPr>
          <w:rFonts w:ascii="仿宋" w:hAnsi="仿宋" w:eastAsia="仿宋"/>
          <w:sz w:val="24"/>
          <w:szCs w:val="24"/>
          <w:lang w:val="zh-CN"/>
        </w:rPr>
      </w:pPr>
      <w:r>
        <w:rPr>
          <w:rFonts w:hint="eastAsia" w:ascii="仿宋" w:hAnsi="仿宋" w:eastAsia="仿宋"/>
          <w:sz w:val="24"/>
          <w:szCs w:val="24"/>
        </w:rPr>
        <w:t>注5.</w:t>
      </w:r>
      <w:r>
        <w:rPr>
          <w:rFonts w:hint="eastAsia" w:ascii="仿宋" w:hAnsi="仿宋" w:eastAsia="仿宋"/>
          <w:sz w:val="24"/>
          <w:szCs w:val="24"/>
          <w:lang w:val="zh-CN"/>
        </w:rPr>
        <w:t>本次招标两款软件</w:t>
      </w:r>
      <w:r>
        <w:rPr>
          <w:rFonts w:hint="eastAsia" w:ascii="仿宋" w:hAnsi="仿宋" w:eastAsia="仿宋"/>
          <w:sz w:val="24"/>
          <w:szCs w:val="24"/>
        </w:rPr>
        <w:t>必须同时给出报价</w:t>
      </w:r>
      <w:r>
        <w:rPr>
          <w:rFonts w:hint="eastAsia" w:ascii="仿宋" w:hAnsi="仿宋" w:eastAsia="仿宋"/>
          <w:sz w:val="24"/>
          <w:szCs w:val="24"/>
          <w:lang w:val="zh-CN"/>
        </w:rPr>
        <w:t>，投标单位在售后服务承诺书中需详细列明免费升级维护年限及质保期满后后续升级维护费用收取比例。</w:t>
      </w:r>
    </w:p>
    <w:p>
      <w:pPr>
        <w:ind w:firstLine="480" w:firstLineChars="200"/>
        <w:jc w:val="left"/>
        <w:rPr>
          <w:rFonts w:ascii="仿宋" w:hAnsi="仿宋" w:eastAsia="仿宋"/>
          <w:sz w:val="24"/>
          <w:szCs w:val="24"/>
        </w:rPr>
      </w:pPr>
      <w:r>
        <w:rPr>
          <w:rFonts w:hint="eastAsia" w:ascii="仿宋" w:hAnsi="仿宋" w:eastAsia="仿宋"/>
          <w:sz w:val="24"/>
          <w:szCs w:val="24"/>
        </w:rPr>
        <w:t>注6.若某一供应商报价明显低于其他供应商报价时，采购方有权要求该供应商详细演示其产品。</w:t>
      </w:r>
    </w:p>
    <w:p>
      <w:pPr>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ind w:firstLine="480" w:firstLineChars="200"/>
        <w:jc w:val="left"/>
        <w:rPr>
          <w:rFonts w:ascii="仿宋" w:hAnsi="仿宋" w:eastAsia="仿宋"/>
          <w:sz w:val="24"/>
          <w:szCs w:val="24"/>
        </w:rPr>
      </w:pPr>
      <w:r>
        <w:rPr>
          <w:rFonts w:hint="eastAsia" w:ascii="仿宋" w:hAnsi="仿宋" w:eastAsia="仿宋"/>
          <w:sz w:val="24"/>
          <w:szCs w:val="24"/>
        </w:rPr>
        <w:t>投标人的投标文件中应包含以下内容</w:t>
      </w:r>
      <w:r>
        <w:rPr>
          <w:rFonts w:hint="eastAsia" w:ascii="仿宋" w:hAnsi="仿宋" w:eastAsia="仿宋"/>
          <w:sz w:val="24"/>
        </w:rPr>
        <w:t>（</w:t>
      </w:r>
      <w:r>
        <w:rPr>
          <w:rFonts w:hint="eastAsia" w:ascii="仿宋" w:hAnsi="仿宋" w:eastAsia="仿宋"/>
          <w:color w:val="000000" w:themeColor="text1"/>
          <w:sz w:val="24"/>
          <w14:textFill>
            <w14:solidFill>
              <w14:schemeClr w14:val="tx1"/>
            </w14:solidFill>
          </w14:textFill>
        </w:rPr>
        <w:t>投标文件密封，一式两份，一正一副，胶装成册。所有证件均须真实、有效，复印件均须加盖公章，缺少以下任意一项内容即作无效标处理</w:t>
      </w:r>
      <w:r>
        <w:rPr>
          <w:rFonts w:hint="eastAsia" w:ascii="仿宋" w:hAnsi="仿宋" w:eastAsia="仿宋"/>
          <w:sz w:val="24"/>
        </w:rPr>
        <w:t>）</w:t>
      </w:r>
      <w:r>
        <w:rPr>
          <w:rFonts w:hint="eastAsia" w:ascii="仿宋" w:hAnsi="仿宋" w:eastAsia="仿宋"/>
          <w:sz w:val="24"/>
          <w:szCs w:val="24"/>
        </w:rPr>
        <w:t>：</w:t>
      </w:r>
    </w:p>
    <w:p>
      <w:pPr>
        <w:ind w:firstLine="480" w:firstLineChars="200"/>
        <w:jc w:val="left"/>
        <w:rPr>
          <w:rFonts w:ascii="仿宋" w:hAnsi="仿宋" w:eastAsia="仿宋"/>
          <w:b/>
          <w:sz w:val="24"/>
          <w:szCs w:val="24"/>
        </w:rPr>
      </w:pPr>
      <w:r>
        <w:rPr>
          <w:rFonts w:hint="eastAsia" w:ascii="仿宋" w:hAnsi="仿宋" w:eastAsia="仿宋"/>
          <w:sz w:val="24"/>
          <w:szCs w:val="24"/>
        </w:rPr>
        <w:t>1.投标报价清单(含软件开发费用、技术费用、知识产权使用费、人员工资和上门服务费用、调试费用、培训费用、免费服务期内的软件升级和服务费用、税金等所涉及本项目的一切费用。投标报价高于采购预算的，则该报价为无效报价。报价以人民币计，并以大写为准)。</w:t>
      </w:r>
      <w:r>
        <w:rPr>
          <w:rFonts w:hint="eastAsia" w:ascii="仿宋" w:hAnsi="仿宋" w:eastAsia="仿宋"/>
          <w:b/>
          <w:sz w:val="24"/>
          <w:szCs w:val="24"/>
        </w:rPr>
        <w:t>投标报价清单必须单独密封。</w:t>
      </w:r>
    </w:p>
    <w:p>
      <w:pPr>
        <w:ind w:firstLine="480" w:firstLineChars="200"/>
        <w:jc w:val="left"/>
        <w:rPr>
          <w:rFonts w:ascii="仿宋" w:hAnsi="仿宋" w:eastAsia="仿宋"/>
          <w:sz w:val="24"/>
        </w:rPr>
      </w:pPr>
      <w:r>
        <w:rPr>
          <w:rFonts w:hint="eastAsia" w:ascii="仿宋" w:hAnsi="仿宋" w:eastAsia="仿宋"/>
          <w:sz w:val="24"/>
        </w:rPr>
        <w:t>2.有效的五证合一营业执照副本复印件；</w:t>
      </w:r>
    </w:p>
    <w:p>
      <w:pPr>
        <w:ind w:firstLine="480" w:firstLineChars="200"/>
        <w:jc w:val="left"/>
        <w:rPr>
          <w:rFonts w:ascii="仿宋" w:hAnsi="仿宋" w:eastAsia="仿宋"/>
          <w:sz w:val="24"/>
          <w:szCs w:val="24"/>
        </w:rPr>
      </w:pPr>
      <w:r>
        <w:rPr>
          <w:rFonts w:hint="eastAsia" w:ascii="仿宋" w:hAnsi="仿宋" w:eastAsia="仿宋" w:cs="仿宋_GB2312"/>
          <w:color w:val="000000"/>
          <w:sz w:val="24"/>
        </w:rPr>
        <w:t>3.投标人开户银行、户名、账号；</w:t>
      </w:r>
    </w:p>
    <w:p>
      <w:pPr>
        <w:ind w:firstLine="480" w:firstLineChars="200"/>
        <w:jc w:val="left"/>
        <w:rPr>
          <w:rFonts w:ascii="仿宋" w:hAnsi="仿宋" w:eastAsia="仿宋"/>
          <w:sz w:val="24"/>
          <w:szCs w:val="24"/>
        </w:rPr>
      </w:pPr>
      <w:r>
        <w:rPr>
          <w:rFonts w:hint="eastAsia" w:ascii="仿宋" w:hAnsi="仿宋" w:eastAsia="仿宋"/>
          <w:sz w:val="24"/>
          <w:szCs w:val="24"/>
        </w:rPr>
        <w:t>4.投标代表身份证复印件；如非法定代表人投标，另提供法定代表人授权委托书原件、法定代表人身份证复印件；</w:t>
      </w:r>
      <w:r>
        <w:rPr>
          <w:rFonts w:hint="eastAsia" w:ascii="仿宋" w:hAnsi="仿宋" w:eastAsia="仿宋" w:cs="仿宋_GB2312"/>
          <w:sz w:val="24"/>
        </w:rPr>
        <w:t>投标代表需提供在本单位近三个月缴纳社保的凭证</w:t>
      </w:r>
      <w:r>
        <w:rPr>
          <w:rFonts w:hint="eastAsia" w:ascii="仿宋" w:hAnsi="仿宋" w:eastAsia="仿宋"/>
          <w:sz w:val="24"/>
          <w:szCs w:val="24"/>
        </w:rPr>
        <w:t>。</w:t>
      </w:r>
    </w:p>
    <w:p>
      <w:pPr>
        <w:ind w:firstLine="480" w:firstLineChars="200"/>
        <w:jc w:val="left"/>
        <w:rPr>
          <w:rFonts w:ascii="仿宋" w:hAnsi="仿宋" w:eastAsia="仿宋"/>
          <w:sz w:val="24"/>
          <w:szCs w:val="24"/>
        </w:rPr>
      </w:pPr>
      <w:r>
        <w:rPr>
          <w:rFonts w:hint="eastAsia" w:ascii="仿宋" w:hAnsi="仿宋" w:eastAsia="仿宋"/>
          <w:color w:val="000000"/>
          <w:sz w:val="24"/>
        </w:rPr>
        <w:t>5.投标产品技术参数响应表（根据招标文件采购要求内容制作；应注明：不偏离、正偏离、负偏离）；</w:t>
      </w:r>
    </w:p>
    <w:p>
      <w:pPr>
        <w:ind w:firstLine="480" w:firstLineChars="200"/>
        <w:jc w:val="left"/>
        <w:rPr>
          <w:rFonts w:ascii="仿宋" w:hAnsi="仿宋" w:eastAsia="仿宋"/>
          <w:sz w:val="24"/>
          <w:szCs w:val="24"/>
        </w:rPr>
      </w:pPr>
      <w:r>
        <w:rPr>
          <w:rFonts w:hint="eastAsia" w:ascii="仿宋" w:hAnsi="仿宋" w:eastAsia="仿宋"/>
          <w:sz w:val="24"/>
          <w:szCs w:val="24"/>
        </w:rPr>
        <w:t>6.投标人服务承诺书（供货期、免费服务期、免费服务期后的年服务费费率）</w:t>
      </w:r>
      <w:r>
        <w:rPr>
          <w:rFonts w:hint="eastAsia" w:ascii="仿宋" w:hAnsi="仿宋" w:eastAsia="仿宋"/>
          <w:bCs/>
          <w:color w:val="000000"/>
          <w:sz w:val="24"/>
        </w:rPr>
        <w:t>；</w:t>
      </w:r>
    </w:p>
    <w:p>
      <w:pPr>
        <w:ind w:firstLine="480" w:firstLineChars="200"/>
        <w:jc w:val="left"/>
        <w:rPr>
          <w:rFonts w:ascii="仿宋" w:hAnsi="仿宋" w:eastAsia="仿宋"/>
          <w:sz w:val="24"/>
          <w:szCs w:val="24"/>
        </w:rPr>
      </w:pPr>
      <w:r>
        <w:rPr>
          <w:rFonts w:hint="eastAsia" w:ascii="仿宋" w:hAnsi="仿宋" w:eastAsia="仿宋"/>
          <w:sz w:val="24"/>
          <w:szCs w:val="24"/>
        </w:rPr>
        <w:t>7.投标人技术方案及实施方案；</w:t>
      </w:r>
    </w:p>
    <w:p>
      <w:pPr>
        <w:ind w:firstLine="480" w:firstLineChars="200"/>
        <w:jc w:val="left"/>
        <w:rPr>
          <w:rFonts w:ascii="仿宋" w:hAnsi="仿宋" w:eastAsia="仿宋"/>
          <w:sz w:val="24"/>
          <w:szCs w:val="24"/>
        </w:rPr>
      </w:pPr>
      <w:r>
        <w:rPr>
          <w:rFonts w:hint="eastAsia" w:ascii="仿宋" w:hAnsi="仿宋" w:eastAsia="仿宋"/>
          <w:sz w:val="24"/>
          <w:szCs w:val="24"/>
        </w:rPr>
        <w:t>8.投标人售后服务方案及培训方案；</w:t>
      </w:r>
    </w:p>
    <w:p>
      <w:pPr>
        <w:ind w:firstLine="480" w:firstLineChars="200"/>
        <w:jc w:val="left"/>
        <w:rPr>
          <w:rFonts w:ascii="仿宋" w:hAnsi="仿宋" w:eastAsia="仿宋"/>
          <w:sz w:val="24"/>
          <w:szCs w:val="24"/>
        </w:rPr>
      </w:pPr>
      <w:r>
        <w:rPr>
          <w:rFonts w:hint="eastAsia" w:ascii="仿宋" w:hAnsi="仿宋" w:eastAsia="仿宋"/>
          <w:sz w:val="24"/>
          <w:szCs w:val="24"/>
        </w:rPr>
        <w:t>9.投标人</w:t>
      </w:r>
      <w:r>
        <w:rPr>
          <w:rFonts w:hint="eastAsia" w:ascii="仿宋" w:hAnsi="仿宋" w:eastAsia="仿宋"/>
          <w:sz w:val="24"/>
        </w:rPr>
        <w:t>2020年1月1日至今的</w:t>
      </w:r>
      <w:r>
        <w:rPr>
          <w:rFonts w:hint="eastAsia" w:ascii="仿宋" w:hAnsi="仿宋" w:eastAsia="仿宋"/>
          <w:bCs/>
          <w:color w:val="000000"/>
          <w:sz w:val="24"/>
        </w:rPr>
        <w:t>同类项目业绩证明材料（业绩汇总表、合同复印件）</w:t>
      </w:r>
      <w:r>
        <w:rPr>
          <w:rFonts w:hint="eastAsia" w:ascii="仿宋" w:hAnsi="仿宋" w:eastAsia="仿宋"/>
          <w:sz w:val="24"/>
        </w:rPr>
        <w:t>；</w:t>
      </w:r>
    </w:p>
    <w:p>
      <w:pPr>
        <w:ind w:firstLine="480" w:firstLineChars="200"/>
        <w:jc w:val="left"/>
        <w:rPr>
          <w:rFonts w:ascii="仿宋" w:hAnsi="仿宋" w:eastAsia="仿宋"/>
          <w:sz w:val="24"/>
          <w:szCs w:val="24"/>
        </w:rPr>
      </w:pPr>
      <w:r>
        <w:rPr>
          <w:rFonts w:hint="eastAsia" w:ascii="仿宋" w:hAnsi="仿宋" w:eastAsia="仿宋"/>
          <w:sz w:val="24"/>
          <w:szCs w:val="24"/>
        </w:rPr>
        <w:t>10.其他相关证明材料</w:t>
      </w:r>
      <w:r>
        <w:rPr>
          <w:rFonts w:hint="eastAsia" w:ascii="仿宋" w:hAnsi="仿宋" w:eastAsia="仿宋" w:cs="仿宋_GB2312"/>
          <w:color w:val="000000"/>
          <w:sz w:val="24"/>
        </w:rPr>
        <w:t>（</w:t>
      </w:r>
      <w:r>
        <w:rPr>
          <w:rFonts w:hint="eastAsia" w:ascii="仿宋" w:hAnsi="仿宋" w:eastAsia="仿宋"/>
          <w:color w:val="000000"/>
          <w:sz w:val="24"/>
        </w:rPr>
        <w:t>招标文件要求提供</w:t>
      </w:r>
      <w:r>
        <w:rPr>
          <w:rFonts w:hint="eastAsia" w:ascii="仿宋" w:hAnsi="仿宋" w:eastAsia="仿宋" w:cs="仿宋_GB2312"/>
          <w:color w:val="000000"/>
          <w:sz w:val="24"/>
        </w:rPr>
        <w:t>的证明材料、投标人认为需要提交的材料等）</w:t>
      </w:r>
    </w:p>
    <w:p>
      <w:pPr>
        <w:ind w:firstLine="480" w:firstLineChars="200"/>
        <w:jc w:val="left"/>
        <w:rPr>
          <w:rFonts w:ascii="仿宋" w:hAnsi="仿宋" w:eastAsia="仿宋"/>
          <w:sz w:val="24"/>
        </w:rPr>
      </w:pPr>
      <w:r>
        <w:rPr>
          <w:rFonts w:hint="eastAsia" w:ascii="仿宋" w:hAnsi="仿宋" w:eastAsia="仿宋"/>
          <w:sz w:val="24"/>
        </w:rPr>
        <w:t>11.提供自采购公告发布之日起至开标截止时间止的“信用中国”网站（www.creditchina.gov.cn）、中国政府采购网（www.ccgp.gov.cn）、</w:t>
      </w:r>
      <w:r>
        <w:rPr>
          <w:rFonts w:hint="eastAsia" w:ascii="仿宋" w:hAnsi="仿宋" w:eastAsia="仿宋" w:cs="仿宋_GB2312"/>
          <w:sz w:val="24"/>
        </w:rPr>
        <w:t>“浙江政府采购网”（www.zjzfcg.gov.cn）</w:t>
      </w:r>
      <w:r>
        <w:rPr>
          <w:rFonts w:hint="eastAsia" w:ascii="仿宋" w:hAnsi="仿宋" w:eastAsia="仿宋"/>
          <w:sz w:val="24"/>
        </w:rPr>
        <w:t>投标人信用查询网页截图（以开标当日采购人核实的查询结果为准）。（提供任何2个网页截图即可）</w:t>
      </w:r>
    </w:p>
    <w:p>
      <w:pPr>
        <w:ind w:firstLine="472" w:firstLineChars="196"/>
        <w:jc w:val="left"/>
        <w:rPr>
          <w:rFonts w:ascii="仿宋" w:hAnsi="仿宋" w:eastAsia="仿宋"/>
          <w:b/>
          <w:sz w:val="24"/>
          <w:szCs w:val="24"/>
        </w:rPr>
      </w:pPr>
      <w:r>
        <w:rPr>
          <w:rFonts w:hint="eastAsia" w:ascii="仿宋" w:hAnsi="仿宋" w:eastAsia="仿宋"/>
          <w:b/>
          <w:sz w:val="24"/>
          <w:szCs w:val="24"/>
        </w:rPr>
        <w:t>三、投标文件递交及开标时间、地点</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1.开标时间：2023年5月</w:t>
      </w:r>
      <w:r>
        <w:rPr>
          <w:rFonts w:ascii="仿宋" w:hAnsi="仿宋" w:eastAsia="仿宋"/>
          <w:color w:val="auto"/>
          <w:sz w:val="24"/>
          <w:szCs w:val="24"/>
        </w:rPr>
        <w:t>10</w:t>
      </w:r>
      <w:r>
        <w:rPr>
          <w:rFonts w:hint="eastAsia" w:ascii="仿宋" w:hAnsi="仿宋" w:eastAsia="仿宋"/>
          <w:color w:val="auto"/>
          <w:sz w:val="24"/>
          <w:szCs w:val="24"/>
        </w:rPr>
        <w:t>日</w:t>
      </w:r>
      <w:r>
        <w:rPr>
          <w:rFonts w:hint="eastAsia" w:ascii="仿宋" w:hAnsi="仿宋" w:eastAsia="仿宋"/>
          <w:color w:val="auto"/>
          <w:sz w:val="24"/>
          <w:szCs w:val="24"/>
          <w:lang w:eastAsia="zh-CN"/>
        </w:rPr>
        <w:t>上</w:t>
      </w:r>
      <w:r>
        <w:rPr>
          <w:rFonts w:hint="eastAsia" w:ascii="仿宋" w:hAnsi="仿宋" w:eastAsia="仿宋"/>
          <w:color w:val="auto"/>
          <w:sz w:val="24"/>
          <w:szCs w:val="24"/>
        </w:rPr>
        <w:t>午</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0（投标人不参加开标会议或迟到视为自动放弃）；</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2.开标地点：湖州市二环东路759号湖州师范学院东校区明达楼202会议室；</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3.联系人：徐老师；</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4.电话：0572-2322188。</w:t>
      </w:r>
    </w:p>
    <w:p>
      <w:pPr>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四、中标办法</w:t>
      </w:r>
    </w:p>
    <w:p>
      <w:pPr>
        <w:ind w:firstLine="480" w:firstLineChars="200"/>
        <w:contextualSpacing/>
        <w:jc w:val="left"/>
        <w:rPr>
          <w:rFonts w:ascii="仿宋" w:hAnsi="仿宋" w:eastAsia="仿宋"/>
          <w:color w:val="auto"/>
          <w:sz w:val="24"/>
          <w:szCs w:val="24"/>
        </w:rPr>
      </w:pPr>
      <w:r>
        <w:rPr>
          <w:rFonts w:hint="eastAsia" w:ascii="仿宋" w:hAnsi="仿宋" w:eastAsia="仿宋"/>
          <w:color w:val="auto"/>
          <w:sz w:val="24"/>
          <w:szCs w:val="24"/>
        </w:rPr>
        <w:t>本项目由评标委员会根据招标文件要求进行综合评分，满分100分，得分最高者为中标人。如得分最高者弃标，由采购人决定按得分从高到低依次排序另行确定中标人或另行招标。中标结果需经公示确认。</w:t>
      </w:r>
    </w:p>
    <w:p>
      <w:pPr>
        <w:ind w:firstLine="472" w:firstLineChars="196"/>
        <w:contextualSpacing/>
        <w:jc w:val="left"/>
        <w:rPr>
          <w:rFonts w:ascii="仿宋" w:hAnsi="仿宋" w:eastAsia="仿宋"/>
          <w:b/>
          <w:color w:val="auto"/>
          <w:sz w:val="24"/>
          <w:szCs w:val="24"/>
        </w:rPr>
      </w:pPr>
      <w:r>
        <w:rPr>
          <w:rFonts w:hint="eastAsia" w:ascii="仿宋" w:hAnsi="仿宋" w:eastAsia="仿宋"/>
          <w:b/>
          <w:color w:val="auto"/>
          <w:sz w:val="24"/>
          <w:szCs w:val="24"/>
        </w:rPr>
        <w:t>五、评分标准</w:t>
      </w:r>
    </w:p>
    <w:p>
      <w:pPr>
        <w:ind w:firstLine="480" w:firstLineChars="200"/>
        <w:contextualSpacing/>
        <w:jc w:val="left"/>
        <w:rPr>
          <w:rFonts w:ascii="仿宋" w:hAnsi="仿宋" w:eastAsia="仿宋"/>
          <w:color w:val="auto"/>
          <w:sz w:val="24"/>
          <w:szCs w:val="24"/>
        </w:rPr>
      </w:pPr>
      <w:r>
        <w:rPr>
          <w:rFonts w:hint="eastAsia" w:ascii="仿宋" w:hAnsi="仿宋" w:eastAsia="仿宋"/>
          <w:color w:val="auto"/>
          <w:sz w:val="24"/>
          <w:szCs w:val="24"/>
        </w:rPr>
        <w:t>本次评标采用综合评分法，总分为100分，其中价格分</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0分，技术、商务、资信及其他分</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color w:val="auto"/>
          <w:sz w:val="24"/>
          <w:szCs w:val="24"/>
        </w:rPr>
      </w:pPr>
      <w:r>
        <w:rPr>
          <w:rFonts w:hint="eastAsia" w:ascii="仿宋" w:hAnsi="仿宋" w:eastAsia="仿宋"/>
          <w:color w:val="auto"/>
          <w:sz w:val="24"/>
          <w:szCs w:val="24"/>
        </w:rPr>
        <w:t>投标人评标综合得分=价格分+(技术、商务、资信及其他分)。</w:t>
      </w:r>
    </w:p>
    <w:p>
      <w:pPr>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1.价格分：</w:t>
      </w:r>
      <w:r>
        <w:rPr>
          <w:rFonts w:hint="eastAsia" w:ascii="仿宋" w:hAnsi="仿宋" w:eastAsia="仿宋"/>
          <w:b/>
          <w:color w:val="auto"/>
          <w:sz w:val="24"/>
          <w:szCs w:val="24"/>
          <w:lang w:val="en-US" w:eastAsia="zh-CN"/>
        </w:rPr>
        <w:t>2</w:t>
      </w:r>
      <w:r>
        <w:rPr>
          <w:rFonts w:hint="eastAsia" w:ascii="仿宋" w:hAnsi="仿宋" w:eastAsia="仿宋"/>
          <w:b/>
          <w:color w:val="auto"/>
          <w:sz w:val="24"/>
          <w:szCs w:val="24"/>
        </w:rPr>
        <w:t>0分。</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投标报价高于采购预算的，则该报价为无效报价。在报价允许范围内，投标人中报价最低的为评标基准价，其价格分为满分，其他投标人的价格分按照下列公式计算：价格分=（评标基准价/投标人报价）×</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0。</w:t>
      </w:r>
    </w:p>
    <w:p>
      <w:pPr>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2.技术、商务、资信及其他分：</w:t>
      </w:r>
      <w:r>
        <w:rPr>
          <w:rFonts w:hint="eastAsia" w:ascii="仿宋" w:hAnsi="仿宋" w:eastAsia="仿宋"/>
          <w:b/>
          <w:color w:val="auto"/>
          <w:sz w:val="24"/>
          <w:szCs w:val="24"/>
          <w:lang w:val="en-US" w:eastAsia="zh-CN"/>
        </w:rPr>
        <w:t>8</w:t>
      </w:r>
      <w:r>
        <w:rPr>
          <w:rFonts w:hint="eastAsia" w:ascii="仿宋" w:hAnsi="仿宋" w:eastAsia="仿宋"/>
          <w:b/>
          <w:color w:val="auto"/>
          <w:sz w:val="24"/>
          <w:szCs w:val="24"/>
        </w:rPr>
        <w:t>0分。</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本部分按照评标小组成员的独立评分结果汇总数的算术平均分计算，计算公式为：得分=（评标小组所有成员评分合计数）/（评标小组组成人员数）</w:t>
      </w:r>
    </w:p>
    <w:tbl>
      <w:tblPr>
        <w:tblStyle w:val="11"/>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71"/>
        <w:gridCol w:w="642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371"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评审内容</w:t>
            </w:r>
          </w:p>
        </w:tc>
        <w:tc>
          <w:tcPr>
            <w:tcW w:w="6425"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评分标准</w:t>
            </w:r>
          </w:p>
        </w:tc>
        <w:tc>
          <w:tcPr>
            <w:tcW w:w="762" w:type="dxa"/>
            <w:tcBorders>
              <w:bottom w:val="single" w:color="auto" w:sz="4" w:space="0"/>
            </w:tcBorders>
            <w:shd w:val="clear" w:color="auto" w:fill="D9D9D9"/>
            <w:vAlign w:val="center"/>
          </w:tcPr>
          <w:p>
            <w:pPr>
              <w:widowControl/>
              <w:adjustRightInd w:val="0"/>
              <w:snapToGrid w:val="0"/>
              <w:spacing w:line="360" w:lineRule="exact"/>
              <w:jc w:val="center"/>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60" w:type="dxa"/>
            <w:shd w:val="clear" w:color="auto" w:fill="auto"/>
            <w:vAlign w:val="center"/>
          </w:tcPr>
          <w:p>
            <w:pPr>
              <w:widowControl/>
              <w:adjustRightInd w:val="0"/>
              <w:snapToGrid w:val="0"/>
              <w:spacing w:line="360" w:lineRule="exact"/>
              <w:jc w:val="center"/>
              <w:rPr>
                <w:rFonts w:ascii="仿宋" w:hAnsi="仿宋" w:eastAsia="仿宋" w:cs="仿宋"/>
                <w:b/>
                <w:bCs/>
                <w:color w:val="auto"/>
                <w:kern w:val="0"/>
                <w:sz w:val="24"/>
                <w:szCs w:val="24"/>
                <w:shd w:val="pct10" w:color="auto" w:fill="FFFFFF"/>
              </w:rPr>
            </w:pPr>
            <w:r>
              <w:rPr>
                <w:rFonts w:hint="eastAsia" w:ascii="仿宋" w:hAnsi="仿宋" w:eastAsia="仿宋" w:cs="仿宋"/>
                <w:b/>
                <w:bCs/>
                <w:color w:val="auto"/>
                <w:kern w:val="0"/>
                <w:sz w:val="24"/>
                <w:szCs w:val="24"/>
              </w:rPr>
              <w:t>1</w:t>
            </w:r>
          </w:p>
        </w:tc>
        <w:tc>
          <w:tcPr>
            <w:tcW w:w="7796" w:type="dxa"/>
            <w:gridSpan w:val="2"/>
            <w:shd w:val="clear" w:color="auto" w:fill="auto"/>
            <w:vAlign w:val="center"/>
          </w:tcPr>
          <w:p>
            <w:pPr>
              <w:widowControl/>
              <w:adjustRightInd w:val="0"/>
              <w:snapToGrid w:val="0"/>
              <w:spacing w:line="360" w:lineRule="exact"/>
              <w:jc w:val="center"/>
              <w:rPr>
                <w:rFonts w:ascii="仿宋" w:hAnsi="仿宋" w:eastAsia="仿宋" w:cs="仿宋"/>
                <w:b/>
                <w:bCs/>
                <w:color w:val="auto"/>
                <w:kern w:val="0"/>
                <w:sz w:val="24"/>
                <w:szCs w:val="24"/>
                <w:shd w:val="pct10" w:color="auto" w:fill="FFFFFF"/>
              </w:rPr>
            </w:pPr>
            <w:r>
              <w:rPr>
                <w:rFonts w:hint="eastAsia" w:ascii="仿宋" w:hAnsi="仿宋" w:eastAsia="仿宋" w:cs="仿宋"/>
                <w:b/>
                <w:bCs/>
                <w:color w:val="auto"/>
                <w:kern w:val="0"/>
                <w:sz w:val="24"/>
                <w:szCs w:val="24"/>
              </w:rPr>
              <w:t>技术分</w:t>
            </w:r>
          </w:p>
        </w:tc>
        <w:tc>
          <w:tcPr>
            <w:tcW w:w="762" w:type="dxa"/>
            <w:shd w:val="clear" w:color="auto" w:fill="auto"/>
            <w:vAlign w:val="center"/>
          </w:tcPr>
          <w:p>
            <w:pPr>
              <w:widowControl/>
              <w:adjustRightInd w:val="0"/>
              <w:snapToGrid w:val="0"/>
              <w:spacing w:line="360" w:lineRule="exact"/>
              <w:jc w:val="center"/>
              <w:rPr>
                <w:rFonts w:ascii="仿宋" w:hAnsi="仿宋" w:eastAsia="仿宋" w:cs="仿宋"/>
                <w:b/>
                <w:bCs/>
                <w:color w:val="auto"/>
                <w:kern w:val="0"/>
                <w:sz w:val="24"/>
                <w:szCs w:val="24"/>
                <w:shd w:val="pct10" w:color="auto" w:fill="FFFFFF"/>
              </w:rPr>
            </w:pPr>
            <w:r>
              <w:rPr>
                <w:rFonts w:hint="eastAsia" w:ascii="仿宋" w:hAnsi="仿宋" w:eastAsia="仿宋" w:cs="仿宋"/>
                <w:b/>
                <w:bCs/>
                <w:color w:val="auto"/>
                <w:kern w:val="0"/>
                <w:sz w:val="24"/>
                <w:szCs w:val="24"/>
                <w:lang w:val="en-US" w:eastAsia="zh-CN"/>
              </w:rPr>
              <w:t>5</w:t>
            </w:r>
            <w:r>
              <w:rPr>
                <w:rFonts w:hint="eastAsia" w:ascii="仿宋" w:hAnsi="仿宋" w:eastAsia="仿宋" w:cs="仿宋"/>
                <w:b/>
                <w:bCs/>
                <w:color w:val="auto"/>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60" w:type="dxa"/>
            <w:vAlign w:val="center"/>
          </w:tcPr>
          <w:p>
            <w:pPr>
              <w:pStyle w:val="22"/>
              <w:adjustRightInd w:val="0"/>
              <w:snapToGrid w:val="0"/>
              <w:spacing w:line="36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371" w:type="dxa"/>
            <w:vAlign w:val="center"/>
          </w:tcPr>
          <w:p>
            <w:pPr>
              <w:pStyle w:val="22"/>
              <w:adjustRightInd w:val="0"/>
              <w:snapToGrid w:val="0"/>
              <w:spacing w:line="36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软件功能</w:t>
            </w:r>
          </w:p>
        </w:tc>
        <w:tc>
          <w:tcPr>
            <w:tcW w:w="6425" w:type="dxa"/>
            <w:tcBorders>
              <w:bottom w:val="single" w:color="auto" w:sz="4" w:space="0"/>
            </w:tcBorders>
            <w:vAlign w:val="center"/>
          </w:tcPr>
          <w:p>
            <w:pPr>
              <w:adjustRightInd w:val="0"/>
              <w:snapToGrid w:val="0"/>
              <w:spacing w:line="320" w:lineRule="exact"/>
              <w:jc w:val="left"/>
              <w:rPr>
                <w:rFonts w:ascii="仿宋" w:hAnsi="仿宋" w:eastAsia="仿宋" w:cs="仿宋"/>
                <w:color w:val="auto"/>
                <w:sz w:val="24"/>
                <w:szCs w:val="24"/>
              </w:rPr>
            </w:pPr>
            <w:r>
              <w:rPr>
                <w:rFonts w:hint="eastAsia" w:ascii="仿宋" w:hAnsi="仿宋" w:eastAsia="仿宋" w:cs="仿宋"/>
                <w:color w:val="auto"/>
                <w:sz w:val="24"/>
                <w:szCs w:val="24"/>
              </w:rPr>
              <w:t>本项基础分20分，招标文件技术要求中“▲”为重要条款，每负偏离一项扣1分，其他一般技术参数每负偏离一项扣0.5分，扣完为止；</w:t>
            </w:r>
          </w:p>
        </w:tc>
        <w:tc>
          <w:tcPr>
            <w:tcW w:w="762" w:type="dxa"/>
            <w:tcBorders>
              <w:bottom w:val="single" w:color="auto" w:sz="4" w:space="0"/>
            </w:tcBorders>
            <w:vAlign w:val="center"/>
          </w:tcPr>
          <w:p>
            <w:pPr>
              <w:adjustRightInd w:val="0"/>
              <w:snapToGrid w:val="0"/>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pStyle w:val="22"/>
              <w:adjustRightInd w:val="0"/>
              <w:snapToGrid w:val="0"/>
              <w:spacing w:line="36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1.2</w:t>
            </w:r>
          </w:p>
        </w:tc>
        <w:tc>
          <w:tcPr>
            <w:tcW w:w="1371" w:type="dxa"/>
            <w:vAlign w:val="center"/>
          </w:tcPr>
          <w:p>
            <w:pPr>
              <w:pStyle w:val="22"/>
              <w:adjustRightInd w:val="0"/>
              <w:snapToGrid w:val="0"/>
              <w:spacing w:line="36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软件演示</w:t>
            </w:r>
          </w:p>
        </w:tc>
        <w:tc>
          <w:tcPr>
            <w:tcW w:w="6425" w:type="dxa"/>
            <w:vAlign w:val="center"/>
          </w:tcPr>
          <w:p>
            <w:pPr>
              <w:adjustRightInd w:val="0"/>
              <w:snapToGrid w:val="0"/>
              <w:spacing w:line="32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符合以下全部要求的得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分，不演示此项不得分，自行搭建演示环境，演示时间不超过</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分钟。演示清单和对应得分如下：</w:t>
            </w:r>
          </w:p>
          <w:p>
            <w:pPr>
              <w:adjustRightInd w:val="0"/>
              <w:snapToGrid w:val="0"/>
              <w:spacing w:line="320" w:lineRule="exact"/>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2分）大数据与人工智能分析平台允许用户自己从组件库中拖拉拽对应组件组成案例流程，并可以点击执行查看执行过程与执行结果。老师可以利用算法模型进行组合利用，形成新案例。通过不同的数据组件和算法组件可以构成不同的案例，案例数量不低于20个。案例组合成功后，可保存，可编辑修改，可自动执行，可一次执行形成结果报告，也可设置步骤多次执行形成结果。方便老师自定义研究内容。</w:t>
            </w:r>
          </w:p>
          <w:p>
            <w:pPr>
              <w:adjustRightInd w:val="0"/>
              <w:snapToGrid w:val="0"/>
              <w:spacing w:line="32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分）大数据与人工智能分析平台</w:t>
            </w:r>
            <w:r>
              <w:rPr>
                <w:rFonts w:hint="eastAsia" w:ascii="仿宋" w:hAnsi="仿宋" w:eastAsia="仿宋" w:cs="仿宋"/>
                <w:color w:val="auto"/>
                <w:kern w:val="0"/>
                <w:sz w:val="24"/>
                <w:szCs w:val="24"/>
                <w:highlight w:val="none"/>
              </w:rPr>
              <w:t>支持算法模块的Python/R编辑，支持组件之间连线，支持自动判断接口是否可对接，自动识别组件间接口的输入输出属性，可对算法组件间的出参和入参进行自动数据类型校验。</w:t>
            </w:r>
            <w:r>
              <w:rPr>
                <w:rFonts w:hint="eastAsia" w:ascii="仿宋" w:hAnsi="仿宋" w:eastAsia="仿宋" w:cs="仿宋"/>
                <w:color w:val="auto"/>
                <w:sz w:val="24"/>
                <w:szCs w:val="24"/>
                <w:highlight w:val="none"/>
              </w:rPr>
              <w:t>。</w:t>
            </w:r>
          </w:p>
          <w:p>
            <w:pPr>
              <w:adjustRightInd w:val="0"/>
              <w:snapToGrid w:val="0"/>
              <w:spacing w:line="320" w:lineRule="exact"/>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分）大数据与人工智能分析平台</w:t>
            </w:r>
            <w:r>
              <w:rPr>
                <w:rFonts w:hint="eastAsia" w:ascii="仿宋" w:hAnsi="仿宋" w:eastAsia="仿宋" w:cs="仿宋"/>
                <w:color w:val="auto"/>
                <w:kern w:val="0"/>
                <w:sz w:val="24"/>
                <w:szCs w:val="24"/>
                <w:highlight w:val="none"/>
              </w:rPr>
              <w:t>支持在线Python/R组件执行引擎，支持在线算法组件的模块化设计，支持通过组建的案例和场景组合编程，支持可以通过简单的拖拉拽方式实现在线案例和场景设计，编程平台能自动识别链接的算法组建的接口输入输出属性，可对算法组件间的出参和入参进行自动数据类型校验，编程后的文件可保存，修改或者上传到个人。</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分）基于人工智能的深度学习模拟分析平台中，</w:t>
            </w:r>
            <w:r>
              <w:rPr>
                <w:rFonts w:hint="eastAsia" w:ascii="仿宋" w:hAnsi="仿宋" w:eastAsia="仿宋" w:cs="仿宋"/>
                <w:color w:val="auto"/>
                <w:sz w:val="24"/>
                <w:szCs w:val="24"/>
                <w:highlight w:val="none"/>
                <w:lang w:eastAsia="zh-CN"/>
              </w:rPr>
              <w:t>对以下</w:t>
            </w:r>
            <w:r>
              <w:rPr>
                <w:rFonts w:hint="eastAsia" w:ascii="仿宋" w:hAnsi="仿宋" w:eastAsia="仿宋" w:cs="仿宋"/>
                <w:color w:val="auto"/>
                <w:sz w:val="24"/>
                <w:szCs w:val="24"/>
                <w:highlight w:val="none"/>
              </w:rPr>
              <w:t>步骤进行演示操作，该项最高得分为1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ind w:left="360" w:hanging="360" w:hanging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①对于前置理论知识的巩固：在流程中，任意主线以外的知识点将出现画中画按钮进行知识回顾；</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②对于新知识点的复习：在流程中，每个章节出现的知识点也可以反复进行跳转查看；</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③对于特征概念的解析和理解：通过区分外国人，理解人眼对于特征的判断；</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④对于单层感知机的运行原理的解析：图解单层感知机的计算方式，通过自主输入参数，权重，偏置，以及激活函数得到最后的结果；</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⑤对于全连接神经网络的结构：图解全连接神经网络模型，通过自主输入输入层节点数，隐藏层层数，隐藏层节点数 进行查看全连接神经网络的概念；</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⑥对于过滤器的概念：通过大中小球的交互判断，理解过滤器的标准化对于“中”的定义的重要性；</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⑦对于特征检测符的概念：通过猫狗特征（如耳朵形状）进行检测，引出卷积核作为特征检测符的定义；</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⑧主流程查看：通过一步步交互式引导，理解各个神经网络模型；</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⑨对于现实问题的数学思维转化：从现实场景出发，引导理解模型的现实运用；</w:t>
            </w:r>
          </w:p>
          <w:p>
            <w:pPr>
              <w:ind w:left="322" w:hanging="321" w:hangingChars="13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⑩对于传统机器学习模型的概念区分：作为前置入门门槛，以协助理解神经网络的理解；</w:t>
            </w:r>
          </w:p>
          <w:p>
            <w:pPr>
              <w:ind w:left="322" w:hanging="321" w:hangingChars="134"/>
              <w:rPr>
                <w:rFonts w:ascii="仿宋" w:hAnsi="仿宋" w:eastAsia="仿宋" w:cs="仿宋"/>
                <w:color w:val="auto"/>
                <w:sz w:val="24"/>
                <w:szCs w:val="24"/>
                <w:highlight w:val="none"/>
              </w:rPr>
            </w:pPr>
            <w:r>
              <w:rPr>
                <w:rFonts w:ascii="Cambria Math" w:hAnsi="Cambria Math" w:eastAsia="仿宋" w:cs="Cambria Math"/>
                <w:color w:val="auto"/>
                <w:sz w:val="24"/>
                <w:szCs w:val="24"/>
                <w:highlight w:val="none"/>
              </w:rPr>
              <w:t>⑪</w:t>
            </w:r>
            <w:r>
              <w:rPr>
                <w:rFonts w:hint="eastAsia" w:ascii="仿宋" w:hAnsi="仿宋" w:eastAsia="仿宋" w:cs="仿宋"/>
                <w:color w:val="auto"/>
                <w:sz w:val="24"/>
                <w:szCs w:val="24"/>
                <w:highlight w:val="none"/>
              </w:rPr>
              <w:t>对于全连接神经网络应用于红酒分类预测：案例代码形式展开预测分类，将整个流程各个模块进行分解，理解主流程的步骤的重点和实现方法；</w:t>
            </w:r>
          </w:p>
          <w:p>
            <w:pPr>
              <w:ind w:left="322" w:hanging="321" w:hangingChars="134"/>
              <w:rPr>
                <w:rFonts w:ascii="仿宋" w:hAnsi="仿宋" w:eastAsia="仿宋" w:cs="仿宋"/>
                <w:color w:val="auto"/>
                <w:sz w:val="24"/>
                <w:szCs w:val="24"/>
                <w:highlight w:val="none"/>
              </w:rPr>
            </w:pPr>
            <w:r>
              <w:rPr>
                <w:rFonts w:ascii="Cambria Math" w:hAnsi="Cambria Math" w:eastAsia="仿宋" w:cs="Cambria Math"/>
                <w:color w:val="auto"/>
                <w:sz w:val="24"/>
                <w:szCs w:val="24"/>
                <w:highlight w:val="none"/>
              </w:rPr>
              <w:t>⑫</w:t>
            </w:r>
            <w:r>
              <w:rPr>
                <w:rFonts w:hint="eastAsia" w:ascii="仿宋" w:hAnsi="仿宋" w:eastAsia="仿宋" w:cs="仿宋"/>
                <w:color w:val="auto"/>
                <w:sz w:val="24"/>
                <w:szCs w:val="24"/>
                <w:highlight w:val="none"/>
              </w:rPr>
              <w:t>对于卷积神经网络应用于轮廓检测：案例代码形式展开轮廓检测，整个流程各个模块进行分解，理解主流程的步骤的重点和实现方法，理解索贝尔算子等概念的实现原理；</w:t>
            </w:r>
          </w:p>
          <w:p>
            <w:pPr>
              <w:spacing w:line="360" w:lineRule="exact"/>
              <w:ind w:left="322" w:hanging="321" w:hangingChars="134"/>
              <w:jc w:val="left"/>
              <w:rPr>
                <w:rFonts w:ascii="仿宋" w:hAnsi="仿宋" w:eastAsia="仿宋" w:cs="仿宋"/>
                <w:color w:val="auto"/>
                <w:sz w:val="24"/>
                <w:szCs w:val="24"/>
                <w:highlight w:val="none"/>
              </w:rPr>
            </w:pPr>
            <w:r>
              <w:rPr>
                <w:rFonts w:ascii="Cambria Math" w:hAnsi="Cambria Math" w:eastAsia="仿宋" w:cs="Cambria Math"/>
                <w:color w:val="auto"/>
                <w:sz w:val="24"/>
                <w:szCs w:val="24"/>
                <w:highlight w:val="none"/>
              </w:rPr>
              <w:t>⑬</w:t>
            </w:r>
            <w:r>
              <w:rPr>
                <w:rFonts w:hint="eastAsia" w:ascii="仿宋" w:hAnsi="仿宋" w:eastAsia="仿宋" w:cs="仿宋"/>
                <w:color w:val="auto"/>
                <w:sz w:val="24"/>
                <w:szCs w:val="24"/>
                <w:highlight w:val="none"/>
              </w:rPr>
              <w:t>对于卷积神经网络应用于手写数字识别：案例代码形式展开手写数字识别，整个流程各个模块进行分解，理解主流程的步骤的重点和实现方法（设置卷积层池化层参数等）；</w:t>
            </w:r>
          </w:p>
          <w:p>
            <w:pPr>
              <w:pStyle w:val="2"/>
              <w:ind w:left="360" w:hanging="360" w:hangingChars="150"/>
              <w:rPr>
                <w:rFonts w:ascii="仿宋" w:hAnsi="仿宋" w:eastAsia="仿宋" w:cs="仿宋"/>
                <w:color w:val="auto"/>
                <w:sz w:val="24"/>
                <w:szCs w:val="24"/>
                <w:highlight w:val="none"/>
              </w:rPr>
            </w:pPr>
            <w:r>
              <w:rPr>
                <w:rFonts w:ascii="Cambria Math" w:hAnsi="Cambria Math" w:eastAsia="仿宋" w:cs="Cambria Math"/>
                <w:color w:val="auto"/>
                <w:sz w:val="24"/>
                <w:szCs w:val="24"/>
                <w:highlight w:val="none"/>
              </w:rPr>
              <w:t>⑭</w:t>
            </w:r>
            <w:r>
              <w:rPr>
                <w:rFonts w:hint="eastAsia" w:ascii="仿宋" w:hAnsi="仿宋" w:eastAsia="仿宋" w:cs="仿宋"/>
                <w:color w:val="auto"/>
                <w:sz w:val="24"/>
                <w:szCs w:val="24"/>
                <w:highlight w:val="none"/>
              </w:rPr>
              <w:t>对于循环神经网络（LSTM）应用于股票价格预测：案例代码形式展开时间序列分析，整个流程各个模块进行分解，理解主流程的步骤的重点和实现方法，同时巩固时间序列分析的重点处理方法（平稳性检验，自相关性检验）等；</w:t>
            </w:r>
          </w:p>
          <w:p>
            <w:pPr>
              <w:adjustRightInd w:val="0"/>
              <w:snapToGrid w:val="0"/>
              <w:spacing w:line="320" w:lineRule="exact"/>
              <w:ind w:left="360" w:hanging="360" w:hangingChars="150"/>
              <w:jc w:val="left"/>
              <w:rPr>
                <w:rFonts w:ascii="仿宋" w:hAnsi="仿宋" w:eastAsia="仿宋" w:cs="仿宋"/>
                <w:color w:val="auto"/>
                <w:sz w:val="24"/>
                <w:szCs w:val="24"/>
                <w:highlight w:val="none"/>
              </w:rPr>
            </w:pPr>
            <w:r>
              <w:rPr>
                <w:rFonts w:ascii="Cambria Math" w:hAnsi="Cambria Math" w:eastAsia="仿宋" w:cs="Cambria Math"/>
                <w:color w:val="auto"/>
                <w:sz w:val="24"/>
                <w:szCs w:val="24"/>
                <w:highlight w:val="none"/>
              </w:rPr>
              <w:t>⑮</w:t>
            </w:r>
            <w:r>
              <w:rPr>
                <w:rFonts w:hint="eastAsia" w:ascii="仿宋" w:hAnsi="仿宋" w:eastAsia="仿宋" w:cs="仿宋"/>
                <w:color w:val="auto"/>
                <w:sz w:val="24"/>
                <w:szCs w:val="24"/>
                <w:highlight w:val="none"/>
              </w:rPr>
              <w:t>对于自然语言处理之机器翻译：案例代码形式展开机器翻译，整个流程各个模块进行分解，理解主流程的步骤的重点和实现方法（分词，向量化等）。</w:t>
            </w:r>
          </w:p>
        </w:tc>
        <w:tc>
          <w:tcPr>
            <w:tcW w:w="762" w:type="dxa"/>
            <w:vAlign w:val="center"/>
          </w:tcPr>
          <w:p>
            <w:pPr>
              <w:adjustRightInd w:val="0"/>
              <w:snapToGrid w:val="0"/>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60" w:type="dxa"/>
            <w:vAlign w:val="center"/>
          </w:tcPr>
          <w:p>
            <w:pPr>
              <w:widowControl/>
              <w:adjustRightInd w:val="0"/>
              <w:snapToGrid w:val="0"/>
              <w:spacing w:line="360" w:lineRule="exact"/>
              <w:jc w:val="center"/>
              <w:rPr>
                <w:rFonts w:ascii="仿宋" w:hAnsi="仿宋" w:eastAsia="仿宋" w:cs="仿宋"/>
                <w:bCs/>
                <w:color w:val="auto"/>
                <w:kern w:val="0"/>
                <w:sz w:val="24"/>
                <w:szCs w:val="24"/>
              </w:rPr>
            </w:pPr>
            <w:r>
              <w:rPr>
                <w:rFonts w:hint="eastAsia" w:ascii="仿宋" w:hAnsi="仿宋" w:eastAsia="仿宋" w:cs="仿宋"/>
                <w:bCs/>
                <w:color w:val="auto"/>
                <w:kern w:val="0"/>
                <w:sz w:val="24"/>
                <w:szCs w:val="24"/>
              </w:rPr>
              <w:t>1.3</w:t>
            </w:r>
          </w:p>
        </w:tc>
        <w:tc>
          <w:tcPr>
            <w:tcW w:w="1371" w:type="dxa"/>
            <w:vAlign w:val="center"/>
          </w:tcPr>
          <w:p>
            <w:pPr>
              <w:pStyle w:val="22"/>
              <w:adjustRightInd w:val="0"/>
              <w:snapToGrid w:val="0"/>
              <w:spacing w:line="36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技术方案及</w:t>
            </w:r>
          </w:p>
          <w:p>
            <w:pPr>
              <w:pStyle w:val="22"/>
              <w:adjustRightInd w:val="0"/>
              <w:snapToGrid w:val="0"/>
              <w:spacing w:line="36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实施方案</w:t>
            </w:r>
          </w:p>
        </w:tc>
        <w:tc>
          <w:tcPr>
            <w:tcW w:w="6425" w:type="dxa"/>
            <w:vAlign w:val="center"/>
          </w:tcPr>
          <w:p>
            <w:pPr>
              <w:adjustRightInd w:val="0"/>
              <w:snapToGrid w:val="0"/>
              <w:spacing w:line="32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1.技术方案（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分），根据技术方案的可行性、合理性、实用性、安全性、完整性、稳定性等评分，方案科学有效的，得</w:t>
            </w:r>
            <w:r>
              <w:rPr>
                <w:rFonts w:hint="eastAsia" w:ascii="仿宋" w:hAnsi="仿宋" w:eastAsia="仿宋" w:cs="仿宋"/>
                <w:color w:val="auto"/>
                <w:sz w:val="24"/>
                <w:szCs w:val="24"/>
                <w:highlight w:val="none"/>
                <w:lang w:val="en-US" w:eastAsia="zh-CN"/>
              </w:rPr>
              <w:t>5-8</w:t>
            </w:r>
            <w:r>
              <w:rPr>
                <w:rFonts w:hint="eastAsia" w:ascii="仿宋" w:hAnsi="仿宋" w:eastAsia="仿宋" w:cs="仿宋"/>
                <w:color w:val="auto"/>
                <w:sz w:val="24"/>
                <w:szCs w:val="24"/>
                <w:highlight w:val="none"/>
              </w:rPr>
              <w:t>分；方案欠佳的，得2-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分；方案存在明显缺陷的，得0-1分；无方案的不得分。不提供不得分。</w:t>
            </w:r>
          </w:p>
          <w:p>
            <w:pPr>
              <w:adjustRightInd w:val="0"/>
              <w:snapToGrid w:val="0"/>
              <w:spacing w:line="32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2.实施方案（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分），项目实施进度计划、组织机构和分工安排、项目过程各阶段划分和控制，应有项目实施全过程各阶段主要实施活动方案和措施方案科学有效的，得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分；措施方案欠佳但基本合理的，得2-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分；措施方案存在明显缺陷的，得0-1分。不提供不得分。</w:t>
            </w:r>
          </w:p>
        </w:tc>
        <w:tc>
          <w:tcPr>
            <w:tcW w:w="762" w:type="dxa"/>
            <w:vAlign w:val="center"/>
          </w:tcPr>
          <w:p>
            <w:pPr>
              <w:pStyle w:val="22"/>
              <w:adjustRightInd w:val="0"/>
              <w:snapToGrid w:val="0"/>
              <w:spacing w:line="360" w:lineRule="exact"/>
              <w:ind w:firstLine="0" w:firstLineChars="0"/>
              <w:jc w:val="both"/>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0" w:type="dxa"/>
            <w:vAlign w:val="center"/>
          </w:tcPr>
          <w:p>
            <w:pPr>
              <w:pStyle w:val="22"/>
              <w:adjustRightInd w:val="0"/>
              <w:snapToGrid w:val="0"/>
              <w:spacing w:line="360" w:lineRule="exact"/>
              <w:ind w:firstLine="0" w:firstLineChars="0"/>
              <w:jc w:val="center"/>
              <w:rPr>
                <w:rFonts w:ascii="仿宋" w:hAnsi="仿宋" w:eastAsia="仿宋" w:cs="仿宋"/>
                <w:b/>
                <w:bCs/>
                <w:color w:val="auto"/>
                <w:sz w:val="24"/>
                <w:szCs w:val="24"/>
              </w:rPr>
            </w:pPr>
            <w:r>
              <w:rPr>
                <w:rFonts w:hint="eastAsia" w:ascii="仿宋" w:hAnsi="仿宋" w:eastAsia="仿宋" w:cs="仿宋"/>
                <w:b/>
                <w:bCs/>
                <w:color w:val="auto"/>
                <w:sz w:val="24"/>
                <w:szCs w:val="24"/>
              </w:rPr>
              <w:t>2</w:t>
            </w:r>
          </w:p>
        </w:tc>
        <w:tc>
          <w:tcPr>
            <w:tcW w:w="7796" w:type="dxa"/>
            <w:gridSpan w:val="2"/>
            <w:vAlign w:val="center"/>
          </w:tcPr>
          <w:p>
            <w:pPr>
              <w:spacing w:line="32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商务、资信及其他分</w:t>
            </w:r>
          </w:p>
        </w:tc>
        <w:tc>
          <w:tcPr>
            <w:tcW w:w="762" w:type="dxa"/>
            <w:vAlign w:val="center"/>
          </w:tcPr>
          <w:p>
            <w:pPr>
              <w:pStyle w:val="22"/>
              <w:adjustRightInd w:val="0"/>
              <w:snapToGrid w:val="0"/>
              <w:spacing w:line="360" w:lineRule="exact"/>
              <w:ind w:firstLine="0" w:firstLineChars="0"/>
              <w:jc w:val="both"/>
              <w:rPr>
                <w:rFonts w:ascii="仿宋" w:hAnsi="仿宋" w:eastAsia="仿宋" w:cs="仿宋"/>
                <w:b/>
                <w:color w:val="auto"/>
                <w:sz w:val="24"/>
                <w:szCs w:val="24"/>
              </w:rPr>
            </w:pPr>
            <w:r>
              <w:rPr>
                <w:rFonts w:hint="eastAsia" w:ascii="仿宋" w:hAnsi="仿宋" w:eastAsia="仿宋" w:cs="仿宋"/>
                <w:b/>
                <w:color w:val="auto"/>
                <w:sz w:val="24"/>
                <w:szCs w:val="24"/>
                <w:lang w:val="en-US"/>
              </w:rPr>
              <w:t>25</w:t>
            </w:r>
            <w:r>
              <w:rPr>
                <w:rFonts w:hint="eastAsia" w:ascii="仿宋" w:hAnsi="仿宋" w:eastAsia="仿宋" w:cs="仿宋"/>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0" w:type="dxa"/>
            <w:vAlign w:val="center"/>
          </w:tcPr>
          <w:p>
            <w:pPr>
              <w:pStyle w:val="22"/>
              <w:adjustRightInd w:val="0"/>
              <w:snapToGrid w:val="0"/>
              <w:spacing w:line="360" w:lineRule="exact"/>
              <w:ind w:firstLine="0" w:firstLineChars="0"/>
              <w:jc w:val="center"/>
              <w:rPr>
                <w:rFonts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rPr>
              <w:t>1</w:t>
            </w:r>
          </w:p>
        </w:tc>
        <w:tc>
          <w:tcPr>
            <w:tcW w:w="1371" w:type="dxa"/>
            <w:vAlign w:val="center"/>
          </w:tcPr>
          <w:p>
            <w:pPr>
              <w:pStyle w:val="22"/>
              <w:adjustRightInd w:val="0"/>
              <w:snapToGrid w:val="0"/>
              <w:spacing w:line="36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售后服务方案及培训计划</w:t>
            </w:r>
          </w:p>
          <w:p>
            <w:pPr>
              <w:pStyle w:val="22"/>
              <w:adjustRightInd w:val="0"/>
              <w:snapToGrid w:val="0"/>
              <w:spacing w:line="360" w:lineRule="exact"/>
              <w:ind w:firstLine="0" w:firstLineChars="0"/>
              <w:jc w:val="center"/>
              <w:rPr>
                <w:rFonts w:ascii="仿宋" w:hAnsi="仿宋" w:eastAsia="仿宋" w:cs="仿宋"/>
                <w:color w:val="auto"/>
                <w:sz w:val="24"/>
                <w:szCs w:val="24"/>
              </w:rPr>
            </w:pPr>
          </w:p>
        </w:tc>
        <w:tc>
          <w:tcPr>
            <w:tcW w:w="6425" w:type="dxa"/>
            <w:vAlign w:val="center"/>
          </w:tcPr>
          <w:p>
            <w:pPr>
              <w:spacing w:line="320" w:lineRule="exact"/>
              <w:jc w:val="left"/>
              <w:rPr>
                <w:rFonts w:ascii="仿宋" w:hAnsi="仿宋" w:eastAsia="仿宋" w:cs="仿宋"/>
                <w:color w:val="auto"/>
                <w:sz w:val="24"/>
                <w:szCs w:val="24"/>
              </w:rPr>
            </w:pPr>
            <w:r>
              <w:rPr>
                <w:rFonts w:hint="eastAsia" w:ascii="仿宋" w:hAnsi="仿宋" w:eastAsia="仿宋" w:cs="仿宋"/>
                <w:color w:val="auto"/>
                <w:sz w:val="24"/>
                <w:szCs w:val="24"/>
              </w:rPr>
              <w:t>1.售后服务方案：售后服务响应时间短，明确具体服务内容且服务全面的得5分，售后服务不全面的得酌情给分。不提供不得分。</w:t>
            </w:r>
          </w:p>
          <w:p>
            <w:pPr>
              <w:spacing w:line="320" w:lineRule="exact"/>
              <w:jc w:val="left"/>
              <w:rPr>
                <w:rFonts w:ascii="仿宋" w:hAnsi="仿宋" w:eastAsia="仿宋" w:cs="仿宋"/>
                <w:iCs/>
                <w:color w:val="auto"/>
                <w:sz w:val="24"/>
                <w:szCs w:val="24"/>
              </w:rPr>
            </w:pPr>
            <w:r>
              <w:rPr>
                <w:rFonts w:hint="eastAsia" w:ascii="仿宋" w:hAnsi="仿宋" w:eastAsia="仿宋" w:cs="仿宋"/>
                <w:color w:val="auto"/>
                <w:sz w:val="24"/>
                <w:szCs w:val="24"/>
              </w:rPr>
              <w:t>2.培训计划：培训计划完整、详细、针对性强、课时安排合理、讲师经验丰富优秀得 4-5分；培训计划欠佳</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得2-3</w:t>
            </w:r>
            <w:r>
              <w:rPr>
                <w:rFonts w:hint="eastAsia" w:ascii="仿宋" w:hAnsi="仿宋" w:eastAsia="仿宋" w:cs="仿宋"/>
                <w:color w:val="auto"/>
                <w:sz w:val="24"/>
                <w:szCs w:val="24"/>
                <w:lang w:eastAsia="zh-Hans"/>
              </w:rPr>
              <w:t>分</w:t>
            </w:r>
            <w:r>
              <w:rPr>
                <w:rFonts w:hint="eastAsia" w:ascii="仿宋" w:hAnsi="仿宋" w:eastAsia="仿宋" w:cs="仿宋"/>
                <w:color w:val="auto"/>
                <w:sz w:val="24"/>
                <w:szCs w:val="24"/>
              </w:rPr>
              <w:t>；培训计划存在明显缺陷的，得0-1分；无方案的不得分。不提供不得分。</w:t>
            </w:r>
          </w:p>
        </w:tc>
        <w:tc>
          <w:tcPr>
            <w:tcW w:w="762" w:type="dxa"/>
            <w:vAlign w:val="center"/>
          </w:tcPr>
          <w:p>
            <w:pPr>
              <w:pStyle w:val="22"/>
              <w:adjustRightInd w:val="0"/>
              <w:snapToGrid w:val="0"/>
              <w:spacing w:line="36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lang w:val="en-US"/>
              </w:rPr>
              <w:t>10</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0" w:type="dxa"/>
            <w:vAlign w:val="center"/>
          </w:tcPr>
          <w:p>
            <w:pPr>
              <w:pStyle w:val="22"/>
              <w:adjustRightInd w:val="0"/>
              <w:snapToGrid w:val="0"/>
              <w:spacing w:line="360" w:lineRule="exact"/>
              <w:ind w:firstLine="0" w:firstLineChars="0"/>
              <w:jc w:val="center"/>
              <w:rPr>
                <w:rFonts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rPr>
              <w:t>2</w:t>
            </w:r>
          </w:p>
        </w:tc>
        <w:tc>
          <w:tcPr>
            <w:tcW w:w="1371" w:type="dxa"/>
            <w:vAlign w:val="center"/>
          </w:tcPr>
          <w:p>
            <w:pPr>
              <w:pStyle w:val="22"/>
              <w:adjustRightInd w:val="0"/>
              <w:snapToGrid w:val="0"/>
              <w:spacing w:line="36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投标人业绩及实力</w:t>
            </w:r>
          </w:p>
        </w:tc>
        <w:tc>
          <w:tcPr>
            <w:tcW w:w="6425" w:type="dxa"/>
            <w:vAlign w:val="center"/>
          </w:tcPr>
          <w:p>
            <w:pPr>
              <w:spacing w:line="320" w:lineRule="exact"/>
              <w:jc w:val="left"/>
              <w:rPr>
                <w:rFonts w:ascii="仿宋" w:hAnsi="仿宋" w:eastAsia="仿宋" w:cs="仿宋"/>
                <w:color w:val="auto"/>
                <w:sz w:val="24"/>
                <w:szCs w:val="24"/>
              </w:rPr>
            </w:pPr>
            <w:r>
              <w:rPr>
                <w:rFonts w:hint="eastAsia" w:ascii="仿宋" w:hAnsi="仿宋" w:eastAsia="仿宋" w:cs="仿宋"/>
                <w:color w:val="auto"/>
                <w:sz w:val="24"/>
                <w:szCs w:val="24"/>
              </w:rPr>
              <w:t>1.2020年1月1日（以合同签订日期为准）以来，投标人具有包含核心产品类似大数据、人工智能及本科院校的实验室项目（提供合同复印件），每提供1个得1分，最高得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spacing w:line="320" w:lineRule="exact"/>
              <w:jc w:val="left"/>
              <w:rPr>
                <w:rFonts w:ascii="仿宋" w:hAnsi="仿宋" w:eastAsia="仿宋" w:cs="仿宋"/>
                <w:color w:val="auto"/>
                <w:sz w:val="24"/>
                <w:szCs w:val="24"/>
              </w:rPr>
            </w:pPr>
            <w:r>
              <w:rPr>
                <w:rFonts w:hint="eastAsia" w:ascii="仿宋" w:hAnsi="仿宋" w:eastAsia="仿宋" w:cs="仿宋"/>
                <w:color w:val="auto"/>
                <w:sz w:val="24"/>
                <w:szCs w:val="24"/>
              </w:rPr>
              <w:t>2.投标人具有大数据及人工智能实验室软件著作权登记证书的得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分，提供证书复印件并加盖生产厂家公章（原件备查）。</w:t>
            </w:r>
          </w:p>
        </w:tc>
        <w:tc>
          <w:tcPr>
            <w:tcW w:w="762" w:type="dxa"/>
            <w:vAlign w:val="center"/>
          </w:tcPr>
          <w:p>
            <w:pPr>
              <w:pStyle w:val="22"/>
              <w:adjustRightInd w:val="0"/>
              <w:snapToGrid w:val="0"/>
              <w:spacing w:line="360" w:lineRule="exact"/>
              <w:ind w:firstLine="0" w:firstLineChars="0"/>
              <w:rPr>
                <w:rFonts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0" w:type="dxa"/>
            <w:vAlign w:val="center"/>
          </w:tcPr>
          <w:p>
            <w:pPr>
              <w:adjustRightInd w:val="0"/>
              <w:snapToGrid w:val="0"/>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2.3</w:t>
            </w:r>
          </w:p>
        </w:tc>
        <w:tc>
          <w:tcPr>
            <w:tcW w:w="1371" w:type="dxa"/>
            <w:vAlign w:val="center"/>
          </w:tcPr>
          <w:p>
            <w:pPr>
              <w:adjustRightInd w:val="0"/>
              <w:snapToGrid w:val="0"/>
              <w:spacing w:line="360" w:lineRule="exact"/>
              <w:jc w:val="center"/>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投标人资信</w:t>
            </w:r>
          </w:p>
        </w:tc>
        <w:tc>
          <w:tcPr>
            <w:tcW w:w="6425" w:type="dxa"/>
            <w:vAlign w:val="center"/>
          </w:tcPr>
          <w:p>
            <w:pPr>
              <w:jc w:val="left"/>
              <w:rPr>
                <w:rFonts w:ascii="仿宋" w:hAnsi="仿宋" w:eastAsia="仿宋" w:cs="仿宋"/>
                <w:color w:val="auto"/>
                <w:sz w:val="24"/>
                <w:szCs w:val="24"/>
              </w:rPr>
            </w:pPr>
            <w:r>
              <w:rPr>
                <w:rFonts w:hint="eastAsia" w:ascii="仿宋" w:hAnsi="仿宋" w:eastAsia="仿宋" w:cs="仿宋"/>
                <w:color w:val="auto"/>
                <w:sz w:val="24"/>
                <w:szCs w:val="24"/>
              </w:rPr>
              <w:t>1、供应商具备国家认证认可监督委员会官方网站可查的知识产权管理体系认证证书的得2分，否则不得分（提供证书扫描件并加盖供应商公章）；</w:t>
            </w:r>
          </w:p>
          <w:p>
            <w:pPr>
              <w:jc w:val="left"/>
              <w:rPr>
                <w:rFonts w:ascii="仿宋" w:hAnsi="仿宋" w:eastAsia="仿宋" w:cs="仿宋"/>
                <w:color w:val="auto"/>
                <w:sz w:val="24"/>
                <w:szCs w:val="24"/>
              </w:rPr>
            </w:pPr>
            <w:r>
              <w:rPr>
                <w:rFonts w:hint="eastAsia" w:ascii="仿宋" w:hAnsi="仿宋" w:eastAsia="仿宋" w:cs="仿宋"/>
                <w:color w:val="auto"/>
                <w:sz w:val="24"/>
                <w:szCs w:val="24"/>
              </w:rPr>
              <w:t>2、供应商具备有效期内的国家高</w:t>
            </w:r>
            <w:bookmarkStart w:id="0" w:name="_GoBack"/>
            <w:bookmarkEnd w:id="0"/>
            <w:r>
              <w:rPr>
                <w:rFonts w:hint="eastAsia" w:ascii="仿宋" w:hAnsi="仿宋" w:eastAsia="仿宋" w:cs="仿宋"/>
                <w:color w:val="auto"/>
                <w:sz w:val="24"/>
                <w:szCs w:val="24"/>
              </w:rPr>
              <w:t>新技术企业资质得2分，否则不得分（提供证书扫描件并加盖公章）</w:t>
            </w:r>
          </w:p>
          <w:p>
            <w:pPr>
              <w:jc w:val="left"/>
              <w:rPr>
                <w:rFonts w:ascii="仿宋" w:hAnsi="仿宋" w:eastAsia="仿宋" w:cs="仿宋"/>
                <w:color w:val="auto"/>
                <w:sz w:val="24"/>
                <w:szCs w:val="24"/>
              </w:rPr>
            </w:pPr>
            <w:r>
              <w:rPr>
                <w:rFonts w:hint="eastAsia" w:ascii="仿宋" w:hAnsi="仿宋" w:eastAsia="仿宋" w:cs="仿宋"/>
                <w:color w:val="auto"/>
                <w:sz w:val="24"/>
                <w:szCs w:val="24"/>
              </w:rPr>
              <w:t>3、供应商具备IOS9001质量管理体系认证证书和IOS27000信息安全管理体系认证证书得2分，有其中一个得1分，不提供则不得分（提供证书扫描件并加盖公章）</w:t>
            </w:r>
          </w:p>
          <w:p>
            <w:pPr>
              <w:jc w:val="left"/>
              <w:rPr>
                <w:rFonts w:ascii="仿宋" w:hAnsi="仿宋" w:eastAsia="仿宋" w:cs="仿宋"/>
                <w:color w:val="auto"/>
                <w:sz w:val="24"/>
                <w:szCs w:val="24"/>
              </w:rPr>
            </w:pPr>
            <w:r>
              <w:rPr>
                <w:rFonts w:hint="eastAsia" w:ascii="仿宋" w:hAnsi="仿宋" w:eastAsia="仿宋" w:cs="仿宋"/>
                <w:color w:val="auto"/>
                <w:sz w:val="24"/>
                <w:szCs w:val="24"/>
              </w:rPr>
              <w:t>4、供应商具有国家知识产权局授权，且在国家知识产权局可查的发明专利证书的，得2分，否则不得分（提供发明专利证书扫描件并加盖供应商公章）。</w:t>
            </w:r>
          </w:p>
          <w:p>
            <w:pPr>
              <w:jc w:val="left"/>
              <w:rPr>
                <w:rFonts w:ascii="仿宋" w:hAnsi="仿宋" w:eastAsia="仿宋" w:cs="仿宋"/>
                <w:color w:val="auto"/>
                <w:sz w:val="24"/>
                <w:szCs w:val="24"/>
              </w:rPr>
            </w:pPr>
            <w:r>
              <w:rPr>
                <w:rFonts w:hint="eastAsia" w:ascii="仿宋" w:hAnsi="仿宋" w:eastAsia="仿宋" w:cs="仿宋"/>
                <w:color w:val="auto"/>
                <w:sz w:val="24"/>
                <w:szCs w:val="24"/>
              </w:rPr>
              <w:t>5.具备教育部产学合作协同育人项目资质并提供曾与高校成功立项的“立项证书”得2分（提供协同育人项目认定的立项证书截图并加盖公章）；</w:t>
            </w:r>
          </w:p>
        </w:tc>
        <w:tc>
          <w:tcPr>
            <w:tcW w:w="762" w:type="dxa"/>
            <w:vAlign w:val="center"/>
          </w:tcPr>
          <w:p>
            <w:pPr>
              <w:adjustRightInd w:val="0"/>
              <w:snapToGrid w:val="0"/>
              <w:spacing w:line="360" w:lineRule="exact"/>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rPr>
              <w:t>10分</w:t>
            </w:r>
          </w:p>
        </w:tc>
      </w:tr>
    </w:tbl>
    <w:p>
      <w:pPr>
        <w:ind w:firstLine="472" w:firstLineChars="196"/>
        <w:jc w:val="left"/>
        <w:rPr>
          <w:rFonts w:ascii="仿宋" w:hAnsi="仿宋" w:eastAsia="仿宋"/>
          <w:b/>
          <w:sz w:val="24"/>
          <w:szCs w:val="24"/>
        </w:rPr>
      </w:pPr>
      <w:r>
        <w:rPr>
          <w:rFonts w:hint="eastAsia" w:ascii="仿宋" w:hAnsi="仿宋" w:eastAsia="仿宋"/>
          <w:b/>
          <w:sz w:val="24"/>
          <w:szCs w:val="24"/>
        </w:rPr>
        <w:t>以上评分标准中涉及到的相关证书、证明资料均需提供复印件并加盖投标人公章，未提供的此项不得分。</w:t>
      </w:r>
    </w:p>
    <w:p>
      <w:pPr>
        <w:ind w:firstLine="472" w:firstLineChars="196"/>
        <w:jc w:val="left"/>
        <w:rPr>
          <w:rFonts w:ascii="仿宋" w:hAnsi="仿宋" w:eastAsia="仿宋"/>
          <w:b/>
          <w:sz w:val="24"/>
          <w:szCs w:val="24"/>
        </w:rPr>
      </w:pPr>
      <w:r>
        <w:rPr>
          <w:rFonts w:hint="eastAsia" w:ascii="仿宋" w:hAnsi="仿宋" w:eastAsia="仿宋"/>
          <w:b/>
          <w:sz w:val="24"/>
          <w:szCs w:val="24"/>
        </w:rPr>
        <w:t>六、履约保证金</w:t>
      </w:r>
    </w:p>
    <w:p>
      <w:pPr>
        <w:ind w:firstLine="480" w:firstLineChars="200"/>
        <w:contextualSpacing/>
        <w:jc w:val="left"/>
        <w:rPr>
          <w:rFonts w:ascii="仿宋" w:hAnsi="仿宋" w:eastAsia="仿宋"/>
          <w:sz w:val="24"/>
        </w:rPr>
      </w:pPr>
      <w:r>
        <w:rPr>
          <w:rFonts w:hint="eastAsia" w:ascii="仿宋" w:hAnsi="仿宋" w:eastAsia="仿宋" w:cs="Times New Roman"/>
          <w:sz w:val="24"/>
        </w:rPr>
        <w:t>本项目的履约保证金为合同价的1%；履约保证金形式为：现金或银行、保险公司出具的保函；中标人应根据招标人要求汇入招标人指定账号或提供保函。</w:t>
      </w:r>
      <w:r>
        <w:rPr>
          <w:rFonts w:hint="eastAsia" w:ascii="仿宋" w:hAnsi="仿宋" w:eastAsia="仿宋"/>
          <w:sz w:val="24"/>
        </w:rPr>
        <w:t>履约保证金项目验收合格之后无息退还。</w:t>
      </w:r>
    </w:p>
    <w:p>
      <w:pPr>
        <w:ind w:firstLine="480" w:firstLineChars="200"/>
        <w:contextualSpacing/>
        <w:jc w:val="left"/>
        <w:rPr>
          <w:rFonts w:ascii="仿宋" w:hAnsi="仿宋" w:eastAsia="仿宋"/>
          <w:sz w:val="24"/>
          <w:szCs w:val="24"/>
        </w:rPr>
      </w:pPr>
      <w:r>
        <w:rPr>
          <w:rFonts w:hint="eastAsia" w:ascii="仿宋" w:hAnsi="仿宋" w:eastAsia="仿宋"/>
          <w:sz w:val="24"/>
          <w:szCs w:val="24"/>
        </w:rPr>
        <w:t>采购人</w:t>
      </w:r>
      <w:r>
        <w:rPr>
          <w:rFonts w:ascii="仿宋" w:hAnsi="仿宋" w:eastAsia="仿宋"/>
          <w:sz w:val="24"/>
          <w:szCs w:val="24"/>
        </w:rPr>
        <w:t>单位名称：湖州师范学院</w:t>
      </w:r>
      <w:r>
        <w:rPr>
          <w:rFonts w:hint="eastAsia" w:ascii="仿宋" w:hAnsi="仿宋" w:eastAsia="仿宋"/>
          <w:sz w:val="24"/>
          <w:szCs w:val="24"/>
        </w:rPr>
        <w:t>；</w:t>
      </w:r>
    </w:p>
    <w:p>
      <w:pPr>
        <w:ind w:firstLine="480" w:firstLineChars="200"/>
        <w:contextualSpacing/>
        <w:jc w:val="left"/>
        <w:rPr>
          <w:rFonts w:ascii="仿宋" w:hAnsi="仿宋" w:eastAsia="仿宋"/>
          <w:sz w:val="24"/>
          <w:szCs w:val="24"/>
        </w:rPr>
      </w:pPr>
      <w:r>
        <w:rPr>
          <w:rFonts w:ascii="仿宋" w:hAnsi="仿宋" w:eastAsia="仿宋"/>
          <w:sz w:val="24"/>
          <w:szCs w:val="24"/>
        </w:rPr>
        <w:t>开户行：建行吴兴支行</w:t>
      </w:r>
      <w:r>
        <w:rPr>
          <w:rFonts w:hint="eastAsia" w:ascii="仿宋" w:hAnsi="仿宋" w:eastAsia="仿宋"/>
          <w:sz w:val="24"/>
          <w:szCs w:val="24"/>
        </w:rPr>
        <w:t>；</w:t>
      </w:r>
    </w:p>
    <w:p>
      <w:pPr>
        <w:ind w:firstLine="480" w:firstLineChars="200"/>
        <w:contextualSpacing/>
        <w:jc w:val="left"/>
        <w:rPr>
          <w:rFonts w:ascii="仿宋" w:hAnsi="仿宋" w:eastAsia="仿宋"/>
          <w:sz w:val="24"/>
          <w:szCs w:val="24"/>
        </w:rPr>
      </w:pPr>
      <w:r>
        <w:rPr>
          <w:rFonts w:ascii="仿宋" w:hAnsi="仿宋" w:eastAsia="仿宋"/>
          <w:sz w:val="24"/>
          <w:szCs w:val="24"/>
        </w:rPr>
        <w:t>账号</w:t>
      </w:r>
      <w:r>
        <w:rPr>
          <w:rFonts w:hint="eastAsia" w:ascii="仿宋" w:hAnsi="仿宋" w:eastAsia="仿宋"/>
          <w:sz w:val="24"/>
          <w:szCs w:val="24"/>
        </w:rPr>
        <w:t>：</w:t>
      </w:r>
      <w:r>
        <w:rPr>
          <w:rFonts w:ascii="仿宋" w:hAnsi="仿宋" w:eastAsia="仿宋"/>
          <w:sz w:val="24"/>
          <w:szCs w:val="24"/>
        </w:rPr>
        <w:t>33001649335050002860</w:t>
      </w:r>
      <w:r>
        <w:rPr>
          <w:rFonts w:hint="eastAsia" w:ascii="仿宋" w:hAnsi="仿宋" w:eastAsia="仿宋"/>
          <w:sz w:val="24"/>
          <w:szCs w:val="24"/>
        </w:rPr>
        <w:t>。</w:t>
      </w:r>
    </w:p>
    <w:p>
      <w:pPr>
        <w:ind w:firstLine="480" w:firstLineChars="200"/>
        <w:contextualSpacing/>
        <w:jc w:val="left"/>
        <w:rPr>
          <w:rFonts w:ascii="仿宋" w:hAnsi="仿宋" w:eastAsia="仿宋"/>
          <w:sz w:val="24"/>
          <w:szCs w:val="24"/>
        </w:rPr>
      </w:pPr>
      <w:r>
        <w:rPr>
          <w:rFonts w:ascii="仿宋" w:hAnsi="仿宋" w:eastAsia="仿宋"/>
          <w:sz w:val="24"/>
          <w:szCs w:val="24"/>
        </w:rPr>
        <w:t>统一社会信用代码：123305004711725032</w:t>
      </w:r>
      <w:r>
        <w:rPr>
          <w:rFonts w:hint="eastAsia" w:ascii="仿宋" w:hAnsi="仿宋" w:eastAsia="仿宋"/>
          <w:sz w:val="24"/>
          <w:szCs w:val="24"/>
        </w:rPr>
        <w:t>。</w:t>
      </w:r>
    </w:p>
    <w:p>
      <w:pPr>
        <w:ind w:firstLine="480" w:firstLineChars="200"/>
        <w:contextualSpacing/>
        <w:jc w:val="left"/>
        <w:rPr>
          <w:rFonts w:ascii="仿宋" w:hAnsi="仿宋" w:eastAsia="仿宋"/>
          <w:sz w:val="24"/>
          <w:szCs w:val="24"/>
        </w:rPr>
      </w:pPr>
      <w:r>
        <w:rPr>
          <w:rFonts w:hint="eastAsia" w:ascii="仿宋" w:hAnsi="仿宋" w:eastAsia="仿宋"/>
          <w:sz w:val="24"/>
          <w:szCs w:val="24"/>
        </w:rPr>
        <w:t>地址、电话：湖州市二环东路759号，0572-2321567。</w:t>
      </w:r>
    </w:p>
    <w:p>
      <w:pPr>
        <w:ind w:firstLine="472" w:firstLineChars="196"/>
        <w:jc w:val="left"/>
        <w:rPr>
          <w:rFonts w:ascii="仿宋" w:hAnsi="仿宋" w:eastAsia="仿宋"/>
          <w:b/>
          <w:sz w:val="24"/>
          <w:szCs w:val="24"/>
        </w:rPr>
      </w:pPr>
      <w:r>
        <w:rPr>
          <w:rFonts w:hint="eastAsia" w:ascii="仿宋" w:hAnsi="仿宋" w:eastAsia="仿宋"/>
          <w:b/>
          <w:sz w:val="24"/>
          <w:szCs w:val="24"/>
        </w:rPr>
        <w:t>七、付款方式</w:t>
      </w:r>
    </w:p>
    <w:p>
      <w:pPr>
        <w:ind w:firstLine="480" w:firstLineChars="200"/>
        <w:contextualSpacing/>
        <w:jc w:val="left"/>
        <w:rPr>
          <w:rFonts w:ascii="仿宋" w:hAnsi="仿宋" w:eastAsia="仿宋"/>
          <w:sz w:val="24"/>
          <w:szCs w:val="24"/>
        </w:rPr>
      </w:pPr>
      <w:r>
        <w:rPr>
          <w:rFonts w:hint="eastAsia" w:ascii="仿宋" w:hAnsi="仿宋" w:eastAsia="仿宋"/>
          <w:sz w:val="24"/>
          <w:szCs w:val="24"/>
        </w:rPr>
        <w:t>签订合同后支付合同金额30%的预付款，软件开发完成后支付合同金额的50%，剩余20%正式验收后1个月内支付。</w:t>
      </w:r>
    </w:p>
    <w:p>
      <w:pPr>
        <w:ind w:firstLine="472" w:firstLineChars="196"/>
        <w:jc w:val="left"/>
        <w:rPr>
          <w:rFonts w:ascii="仿宋" w:hAnsi="仿宋" w:eastAsia="仿宋"/>
          <w:b/>
          <w:sz w:val="24"/>
          <w:szCs w:val="24"/>
        </w:rPr>
      </w:pPr>
      <w:r>
        <w:rPr>
          <w:rFonts w:hint="eastAsia" w:ascii="仿宋" w:hAnsi="仿宋" w:eastAsia="仿宋"/>
          <w:b/>
          <w:sz w:val="24"/>
          <w:szCs w:val="24"/>
        </w:rPr>
        <w:t>八、其他事项</w:t>
      </w:r>
    </w:p>
    <w:p>
      <w:pPr>
        <w:ind w:firstLine="480" w:firstLineChars="200"/>
        <w:jc w:val="left"/>
        <w:rPr>
          <w:rFonts w:ascii="仿宋" w:hAnsi="仿宋" w:eastAsia="仿宋"/>
          <w:sz w:val="24"/>
          <w:szCs w:val="24"/>
        </w:rPr>
      </w:pPr>
      <w:r>
        <w:rPr>
          <w:rFonts w:hint="eastAsia" w:ascii="仿宋" w:hAnsi="仿宋" w:eastAsia="仿宋"/>
          <w:sz w:val="24"/>
          <w:szCs w:val="24"/>
        </w:rPr>
        <w:t>1.交货时间：合同签订后7日。</w:t>
      </w:r>
    </w:p>
    <w:p>
      <w:pPr>
        <w:ind w:firstLine="480" w:firstLineChars="200"/>
        <w:jc w:val="left"/>
        <w:rPr>
          <w:rFonts w:ascii="仿宋" w:hAnsi="仿宋" w:eastAsia="仿宋"/>
          <w:sz w:val="24"/>
          <w:szCs w:val="24"/>
        </w:rPr>
      </w:pPr>
      <w:r>
        <w:rPr>
          <w:rFonts w:hint="eastAsia" w:ascii="仿宋" w:hAnsi="仿宋" w:eastAsia="仿宋"/>
          <w:sz w:val="24"/>
          <w:szCs w:val="24"/>
        </w:rPr>
        <w:t>2.免费服务期自项目验收合格之日起不少于3年。在合同规定的免费服务期内，中标人应根据招标人要求免费提供技术、培训、软件升级等服务。</w:t>
      </w:r>
    </w:p>
    <w:p>
      <w:pPr>
        <w:ind w:firstLine="480" w:firstLineChars="200"/>
        <w:jc w:val="left"/>
        <w:rPr>
          <w:rFonts w:ascii="仿宋" w:hAnsi="仿宋" w:eastAsia="仿宋"/>
          <w:sz w:val="24"/>
          <w:szCs w:val="24"/>
        </w:rPr>
      </w:pPr>
      <w:r>
        <w:rPr>
          <w:rFonts w:hint="eastAsia" w:ascii="仿宋" w:hAnsi="仿宋" w:eastAsia="仿宋"/>
          <w:sz w:val="24"/>
          <w:szCs w:val="24"/>
        </w:rPr>
        <w:t>3.服务要求：</w:t>
      </w:r>
    </w:p>
    <w:p>
      <w:pPr>
        <w:ind w:firstLine="480" w:firstLineChars="200"/>
        <w:jc w:val="left"/>
        <w:rPr>
          <w:rFonts w:ascii="仿宋" w:hAnsi="仿宋" w:eastAsia="仿宋"/>
          <w:sz w:val="24"/>
          <w:szCs w:val="24"/>
        </w:rPr>
      </w:pPr>
      <w:r>
        <w:rPr>
          <w:rFonts w:hint="eastAsia" w:ascii="仿宋" w:hAnsi="仿宋" w:eastAsia="仿宋"/>
          <w:sz w:val="24"/>
          <w:szCs w:val="24"/>
        </w:rPr>
        <w:t>（1）提供7×24小时现场技术支持及产品备机，1小时内响应，4小时内到达现场，24小时内解决故障，24小时内不能解决问题应提供备机。</w:t>
      </w:r>
    </w:p>
    <w:p>
      <w:pPr>
        <w:ind w:firstLine="480" w:firstLineChars="200"/>
        <w:jc w:val="left"/>
        <w:rPr>
          <w:rFonts w:ascii="仿宋" w:hAnsi="仿宋" w:eastAsia="仿宋"/>
          <w:sz w:val="24"/>
          <w:szCs w:val="24"/>
        </w:rPr>
      </w:pPr>
      <w:r>
        <w:rPr>
          <w:rFonts w:hint="eastAsia" w:ascii="仿宋" w:hAnsi="仿宋" w:eastAsia="仿宋"/>
          <w:sz w:val="24"/>
          <w:szCs w:val="24"/>
        </w:rPr>
        <w:t>（2）供应商应及时免费提供合同货物软件（如有）的升级，免费提供合同货物新功能和应用的资料。</w:t>
      </w:r>
    </w:p>
    <w:p>
      <w:pPr>
        <w:ind w:firstLine="480" w:firstLineChars="200"/>
        <w:jc w:val="left"/>
        <w:rPr>
          <w:rFonts w:ascii="仿宋" w:hAnsi="仿宋" w:eastAsia="仿宋"/>
          <w:sz w:val="24"/>
          <w:szCs w:val="24"/>
        </w:rPr>
      </w:pPr>
      <w:r>
        <w:rPr>
          <w:rFonts w:hint="eastAsia" w:ascii="仿宋" w:hAnsi="仿宋" w:eastAsia="仿宋"/>
          <w:sz w:val="24"/>
          <w:szCs w:val="24"/>
        </w:rPr>
        <w:t>（3）供应商应免费对采购人的操作人员、维修人员免费进行用户现场培训，培训内容包括硬件和软件使用并提供相应的培训计划。</w:t>
      </w:r>
    </w:p>
    <w:p>
      <w:pPr>
        <w:ind w:firstLine="472" w:firstLineChars="196"/>
        <w:jc w:val="left"/>
        <w:rPr>
          <w:rFonts w:ascii="仿宋" w:hAnsi="仿宋" w:eastAsia="仿宋"/>
          <w:b/>
          <w:sz w:val="24"/>
        </w:rPr>
      </w:pPr>
      <w:r>
        <w:rPr>
          <w:rFonts w:hint="eastAsia" w:ascii="仿宋" w:hAnsi="仿宋" w:eastAsia="仿宋"/>
          <w:b/>
          <w:sz w:val="24"/>
        </w:rPr>
        <w:t>附件：</w:t>
      </w:r>
      <w:r>
        <w:rPr>
          <w:rFonts w:ascii="仿宋" w:hAnsi="仿宋" w:eastAsia="仿宋"/>
          <w:b/>
          <w:sz w:val="24"/>
        </w:rPr>
        <w:t>投标报价</w:t>
      </w:r>
      <w:r>
        <w:rPr>
          <w:rFonts w:hint="eastAsia" w:ascii="仿宋" w:hAnsi="仿宋" w:eastAsia="仿宋"/>
          <w:b/>
          <w:sz w:val="24"/>
        </w:rPr>
        <w:t>清单。</w:t>
      </w:r>
    </w:p>
    <w:p>
      <w:pPr>
        <w:ind w:right="480" w:firstLine="4800" w:firstLineChars="2000"/>
        <w:jc w:val="right"/>
        <w:rPr>
          <w:rFonts w:ascii="仿宋" w:hAnsi="仿宋" w:eastAsia="仿宋"/>
          <w:sz w:val="24"/>
          <w:szCs w:val="24"/>
        </w:rPr>
      </w:pPr>
      <w:r>
        <w:rPr>
          <w:rFonts w:hint="eastAsia" w:ascii="仿宋" w:hAnsi="仿宋" w:eastAsia="仿宋"/>
          <w:sz w:val="24"/>
          <w:szCs w:val="24"/>
        </w:rPr>
        <w:t xml:space="preserve">湖州师范学院采购中心  </w:t>
      </w:r>
    </w:p>
    <w:p>
      <w:pPr>
        <w:ind w:right="480" w:firstLine="5160" w:firstLineChars="2150"/>
        <w:jc w:val="right"/>
        <w:rPr>
          <w:rFonts w:ascii="仿宋" w:hAnsi="仿宋" w:eastAsia="仿宋"/>
          <w:color w:val="auto"/>
          <w:sz w:val="24"/>
          <w:szCs w:val="24"/>
        </w:rPr>
      </w:pPr>
      <w:r>
        <w:rPr>
          <w:rFonts w:hint="eastAsia" w:ascii="仿宋" w:hAnsi="仿宋" w:eastAsia="仿宋"/>
          <w:color w:val="auto"/>
          <w:sz w:val="24"/>
          <w:szCs w:val="24"/>
        </w:rPr>
        <w:t>2023年5月4日</w:t>
      </w:r>
    </w:p>
    <w:p>
      <w:pPr>
        <w:pStyle w:val="5"/>
        <w:snapToGrid w:val="0"/>
        <w:spacing w:beforeLines="0" w:afterLines="0" w:line="240" w:lineRule="auto"/>
        <w:jc w:val="left"/>
        <w:rPr>
          <w:rFonts w:ascii="黑体" w:hAnsi="黑体" w:eastAsia="黑体"/>
        </w:rPr>
      </w:pPr>
    </w:p>
    <w:p>
      <w:pPr>
        <w:pStyle w:val="5"/>
        <w:snapToGrid w:val="0"/>
        <w:spacing w:beforeLines="0" w:afterLines="0" w:line="240" w:lineRule="auto"/>
        <w:jc w:val="left"/>
        <w:rPr>
          <w:rFonts w:ascii="黑体" w:hAnsi="黑体" w:eastAsia="黑体"/>
          <w:color w:val="000000"/>
        </w:rPr>
      </w:pPr>
      <w:r>
        <w:rPr>
          <w:rFonts w:hint="eastAsia" w:ascii="黑体" w:hAnsi="黑体" w:eastAsia="黑体"/>
        </w:rPr>
        <w:t>附件：</w:t>
      </w:r>
      <w:r>
        <w:rPr>
          <w:rFonts w:ascii="黑体" w:hAnsi="黑体" w:eastAsia="黑体"/>
        </w:rPr>
        <w:t>投标报价</w:t>
      </w:r>
      <w:r>
        <w:rPr>
          <w:rFonts w:hint="eastAsia" w:ascii="黑体" w:hAnsi="黑体" w:eastAsia="黑体"/>
        </w:rPr>
        <w:t>清单</w:t>
      </w:r>
      <w:r>
        <w:rPr>
          <w:rFonts w:ascii="黑体" w:hAnsi="黑体" w:eastAsia="黑体"/>
          <w:color w:val="000000"/>
        </w:rPr>
        <w:t xml:space="preserve"> </w:t>
      </w:r>
    </w:p>
    <w:p>
      <w:pPr>
        <w:snapToGrid w:val="0"/>
        <w:spacing w:before="50" w:after="50"/>
        <w:jc w:val="center"/>
        <w:rPr>
          <w:rFonts w:ascii="仿宋" w:hAnsi="仿宋" w:eastAsia="仿宋"/>
          <w:b/>
          <w:sz w:val="24"/>
        </w:rPr>
      </w:pPr>
      <w:r>
        <w:rPr>
          <w:rFonts w:hint="eastAsia" w:ascii="仿宋" w:hAnsi="仿宋" w:eastAsia="仿宋"/>
          <w:b/>
          <w:sz w:val="24"/>
        </w:rPr>
        <w:t>投标报价</w:t>
      </w:r>
      <w:r>
        <w:rPr>
          <w:rFonts w:hint="eastAsia" w:ascii="仿宋" w:hAnsi="仿宋" w:eastAsia="仿宋"/>
          <w:b/>
          <w:color w:val="000000" w:themeColor="text1"/>
          <w:sz w:val="24"/>
          <w14:textFill>
            <w14:solidFill>
              <w14:schemeClr w14:val="tx1"/>
            </w14:solidFill>
          </w14:textFill>
        </w:rPr>
        <w:t>清</w:t>
      </w:r>
      <w:r>
        <w:rPr>
          <w:rFonts w:hint="eastAsia" w:ascii="仿宋" w:hAnsi="仿宋" w:eastAsia="仿宋"/>
          <w:b/>
          <w:sz w:val="24"/>
        </w:rPr>
        <w:t>单</w:t>
      </w:r>
    </w:p>
    <w:p>
      <w:pPr>
        <w:jc w:val="left"/>
        <w:rPr>
          <w:rFonts w:ascii="仿宋" w:hAnsi="仿宋" w:eastAsia="仿宋"/>
          <w:b/>
          <w:sz w:val="24"/>
        </w:rPr>
      </w:pPr>
      <w:r>
        <w:rPr>
          <w:rFonts w:hint="eastAsia" w:ascii="仿宋" w:hAnsi="仿宋" w:eastAsia="仿宋"/>
          <w:b/>
          <w:sz w:val="24"/>
        </w:rPr>
        <w:t>采购项目名称：</w:t>
      </w:r>
      <w:r>
        <w:rPr>
          <w:rFonts w:hint="eastAsia" w:ascii="仿宋" w:hAnsi="仿宋" w:eastAsia="仿宋"/>
          <w:b/>
          <w:sz w:val="24"/>
          <w:szCs w:val="24"/>
        </w:rPr>
        <w:t>湖州师范学院理学院大数据与人工智能分析平台采购项目</w:t>
      </w:r>
    </w:p>
    <w:p>
      <w:pPr>
        <w:jc w:val="left"/>
        <w:rPr>
          <w:rFonts w:ascii="仿宋" w:hAnsi="仿宋" w:eastAsia="仿宋"/>
          <w:b/>
          <w:sz w:val="24"/>
        </w:rPr>
      </w:pPr>
      <w:r>
        <w:rPr>
          <w:rFonts w:hint="eastAsia" w:ascii="仿宋" w:hAnsi="仿宋" w:eastAsia="仿宋"/>
          <w:b/>
          <w:sz w:val="24"/>
        </w:rPr>
        <w:t>采购项目编号：</w:t>
      </w:r>
      <w:r>
        <w:rPr>
          <w:rFonts w:hint="eastAsia" w:ascii="仿宋" w:hAnsi="仿宋" w:eastAsia="仿宋"/>
          <w:b/>
          <w:sz w:val="24"/>
          <w:szCs w:val="24"/>
        </w:rPr>
        <w:t>XZ2023-026</w:t>
      </w:r>
    </w:p>
    <w:tbl>
      <w:tblPr>
        <w:tblStyle w:val="11"/>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821"/>
        <w:gridCol w:w="1417"/>
        <w:gridCol w:w="14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2" w:type="dxa"/>
            <w:vAlign w:val="center"/>
          </w:tcPr>
          <w:p>
            <w:pPr>
              <w:spacing w:before="156" w:beforeLines="50"/>
              <w:jc w:val="center"/>
              <w:rPr>
                <w:rFonts w:ascii="仿宋" w:hAnsi="仿宋" w:eastAsia="仿宋"/>
                <w:b/>
                <w:sz w:val="24"/>
              </w:rPr>
            </w:pPr>
            <w:r>
              <w:rPr>
                <w:rFonts w:hint="eastAsia" w:ascii="仿宋" w:hAnsi="仿宋" w:eastAsia="仿宋"/>
                <w:b/>
                <w:sz w:val="24"/>
              </w:rPr>
              <w:t>序号</w:t>
            </w:r>
          </w:p>
        </w:tc>
        <w:tc>
          <w:tcPr>
            <w:tcW w:w="3821" w:type="dxa"/>
            <w:vAlign w:val="center"/>
          </w:tcPr>
          <w:p>
            <w:pPr>
              <w:spacing w:before="156" w:beforeLines="50"/>
              <w:jc w:val="center"/>
              <w:rPr>
                <w:rFonts w:ascii="仿宋" w:hAnsi="仿宋" w:eastAsia="仿宋"/>
                <w:b/>
                <w:sz w:val="24"/>
              </w:rPr>
            </w:pPr>
            <w:r>
              <w:rPr>
                <w:rFonts w:hint="eastAsia" w:ascii="仿宋" w:hAnsi="仿宋" w:eastAsia="仿宋"/>
                <w:b/>
                <w:sz w:val="24"/>
              </w:rPr>
              <w:t>名称</w:t>
            </w:r>
          </w:p>
        </w:tc>
        <w:tc>
          <w:tcPr>
            <w:tcW w:w="1417" w:type="dxa"/>
            <w:vAlign w:val="center"/>
          </w:tcPr>
          <w:p>
            <w:pPr>
              <w:spacing w:before="156" w:beforeLines="50"/>
              <w:jc w:val="center"/>
              <w:rPr>
                <w:rFonts w:ascii="仿宋" w:hAnsi="仿宋" w:eastAsia="仿宋"/>
                <w:b/>
                <w:sz w:val="24"/>
              </w:rPr>
            </w:pPr>
            <w:r>
              <w:rPr>
                <w:rFonts w:hint="eastAsia" w:ascii="仿宋" w:hAnsi="仿宋" w:eastAsia="仿宋"/>
                <w:b/>
                <w:sz w:val="24"/>
              </w:rPr>
              <w:t>数量</w:t>
            </w:r>
          </w:p>
        </w:tc>
        <w:tc>
          <w:tcPr>
            <w:tcW w:w="1418" w:type="dxa"/>
            <w:vAlign w:val="center"/>
          </w:tcPr>
          <w:p>
            <w:pPr>
              <w:spacing w:before="156" w:beforeLines="50"/>
              <w:jc w:val="center"/>
              <w:rPr>
                <w:rFonts w:ascii="仿宋" w:hAnsi="仿宋" w:eastAsia="仿宋"/>
                <w:b/>
                <w:sz w:val="24"/>
              </w:rPr>
            </w:pPr>
            <w:r>
              <w:rPr>
                <w:rFonts w:hint="eastAsia" w:ascii="仿宋" w:hAnsi="仿宋" w:eastAsia="仿宋"/>
                <w:b/>
                <w:sz w:val="24"/>
              </w:rPr>
              <w:t>单价（元）</w:t>
            </w:r>
          </w:p>
        </w:tc>
        <w:tc>
          <w:tcPr>
            <w:tcW w:w="1527" w:type="dxa"/>
            <w:vAlign w:val="center"/>
          </w:tcPr>
          <w:p>
            <w:pPr>
              <w:spacing w:before="156" w:beforeLines="50"/>
              <w:jc w:val="center"/>
              <w:rPr>
                <w:rFonts w:ascii="仿宋" w:hAnsi="仿宋" w:eastAsia="仿宋"/>
                <w:b/>
                <w:sz w:val="24"/>
              </w:rPr>
            </w:pPr>
            <w:r>
              <w:rPr>
                <w:rFonts w:hint="eastAsia" w:ascii="仿宋" w:hAnsi="仿宋" w:eastAsia="仿宋"/>
                <w:b/>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42" w:type="dxa"/>
            <w:vAlign w:val="center"/>
          </w:tcPr>
          <w:p>
            <w:pPr>
              <w:spacing w:before="156" w:beforeLines="50"/>
              <w:jc w:val="center"/>
              <w:rPr>
                <w:rFonts w:ascii="仿宋" w:hAnsi="仿宋" w:eastAsia="仿宋"/>
                <w:sz w:val="24"/>
              </w:rPr>
            </w:pPr>
            <w:r>
              <w:rPr>
                <w:rFonts w:hint="eastAsia" w:ascii="仿宋" w:hAnsi="仿宋" w:eastAsia="仿宋"/>
                <w:sz w:val="24"/>
              </w:rPr>
              <w:t>1</w:t>
            </w:r>
          </w:p>
        </w:tc>
        <w:tc>
          <w:tcPr>
            <w:tcW w:w="3821" w:type="dxa"/>
            <w:vAlign w:val="center"/>
          </w:tcPr>
          <w:p>
            <w:pPr>
              <w:spacing w:before="156" w:beforeLines="50"/>
              <w:jc w:val="center"/>
              <w:rPr>
                <w:rFonts w:ascii="仿宋" w:hAnsi="仿宋" w:eastAsia="仿宋"/>
                <w:sz w:val="24"/>
              </w:rPr>
            </w:pPr>
            <w:r>
              <w:rPr>
                <w:rFonts w:hint="eastAsia" w:ascii="仿宋" w:hAnsi="仿宋" w:eastAsia="仿宋"/>
                <w:b/>
                <w:sz w:val="24"/>
                <w:szCs w:val="24"/>
              </w:rPr>
              <w:t>大数据与人工智能分析平台</w:t>
            </w:r>
          </w:p>
        </w:tc>
        <w:tc>
          <w:tcPr>
            <w:tcW w:w="1417" w:type="dxa"/>
            <w:vAlign w:val="center"/>
          </w:tcPr>
          <w:p>
            <w:pPr>
              <w:jc w:val="center"/>
              <w:rPr>
                <w:rFonts w:ascii="仿宋" w:hAnsi="仿宋" w:eastAsia="仿宋"/>
                <w:sz w:val="24"/>
              </w:rPr>
            </w:pPr>
            <w:r>
              <w:rPr>
                <w:rFonts w:hint="eastAsia" w:ascii="仿宋" w:hAnsi="仿宋" w:eastAsia="仿宋"/>
                <w:sz w:val="24"/>
              </w:rPr>
              <w:t>1套</w:t>
            </w:r>
          </w:p>
        </w:tc>
        <w:tc>
          <w:tcPr>
            <w:tcW w:w="1418" w:type="dxa"/>
            <w:vAlign w:val="center"/>
          </w:tcPr>
          <w:p>
            <w:pPr>
              <w:spacing w:before="156" w:beforeLines="50"/>
              <w:jc w:val="center"/>
              <w:rPr>
                <w:rFonts w:ascii="仿宋" w:hAnsi="仿宋" w:eastAsia="仿宋"/>
                <w:sz w:val="24"/>
              </w:rPr>
            </w:pPr>
          </w:p>
        </w:tc>
        <w:tc>
          <w:tcPr>
            <w:tcW w:w="1527" w:type="dxa"/>
            <w:vAlign w:val="center"/>
          </w:tcPr>
          <w:p>
            <w:pPr>
              <w:spacing w:before="156" w:beforeLine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925" w:type="dxa"/>
            <w:gridSpan w:val="5"/>
            <w:vAlign w:val="center"/>
          </w:tcPr>
          <w:p>
            <w:pPr>
              <w:spacing w:before="156" w:beforeLines="50"/>
              <w:rPr>
                <w:rFonts w:ascii="仿宋" w:hAnsi="仿宋" w:eastAsia="仿宋"/>
                <w:b/>
                <w:sz w:val="24"/>
              </w:rPr>
            </w:pPr>
            <w:r>
              <w:rPr>
                <w:rFonts w:hint="eastAsia" w:ascii="仿宋" w:hAnsi="仿宋" w:eastAsia="仿宋"/>
                <w:b/>
                <w:sz w:val="24"/>
              </w:rPr>
              <w:t>总价合计人民币大写：         元整（</w:t>
            </w:r>
            <w:r>
              <w:rPr>
                <w:rFonts w:hint="eastAsia" w:ascii="仿宋" w:hAnsi="仿宋" w:eastAsia="仿宋"/>
                <w:color w:val="000000"/>
                <w:sz w:val="24"/>
              </w:rPr>
              <w:t>￥</w:t>
            </w:r>
            <w:r>
              <w:rPr>
                <w:rFonts w:hint="eastAsia" w:ascii="仿宋" w:hAnsi="仿宋" w:eastAsia="仿宋"/>
                <w:b/>
                <w:sz w:val="24"/>
              </w:rPr>
              <w:t xml:space="preserve">       元）。</w:t>
            </w:r>
          </w:p>
        </w:tc>
      </w:tr>
    </w:tbl>
    <w:p>
      <w:pPr>
        <w:ind w:left="405" w:leftChars="193" w:firstLine="4344" w:firstLineChars="1810"/>
        <w:rPr>
          <w:rFonts w:ascii="仿宋" w:hAnsi="仿宋" w:eastAsia="仿宋"/>
          <w:color w:val="000000"/>
          <w:sz w:val="24"/>
        </w:rPr>
      </w:pPr>
      <w:r>
        <w:rPr>
          <w:rFonts w:hint="eastAsia" w:ascii="仿宋" w:hAnsi="仿宋" w:eastAsia="仿宋"/>
          <w:color w:val="000000"/>
          <w:sz w:val="24"/>
        </w:rPr>
        <w:t>授权代表签字：</w:t>
      </w:r>
      <w:r>
        <w:rPr>
          <w:rFonts w:hint="eastAsia" w:ascii="仿宋" w:hAnsi="仿宋" w:eastAsia="仿宋"/>
          <w:color w:val="000000"/>
          <w:sz w:val="24"/>
          <w:u w:val="single"/>
        </w:rPr>
        <w:t xml:space="preserve">                </w:t>
      </w:r>
    </w:p>
    <w:p>
      <w:pPr>
        <w:jc w:val="center"/>
        <w:rPr>
          <w:rFonts w:ascii="仿宋" w:hAnsi="仿宋" w:eastAsia="仿宋"/>
          <w:color w:val="000000"/>
          <w:sz w:val="24"/>
        </w:rPr>
      </w:pPr>
      <w:r>
        <w:rPr>
          <w:rFonts w:hint="eastAsia" w:ascii="仿宋" w:hAnsi="仿宋" w:eastAsia="仿宋"/>
          <w:color w:val="000000"/>
          <w:sz w:val="24"/>
        </w:rPr>
        <w:t xml:space="preserve">   </w:t>
      </w:r>
    </w:p>
    <w:p>
      <w:pPr>
        <w:jc w:val="center"/>
        <w:rPr>
          <w:rFonts w:ascii="仿宋" w:hAnsi="仿宋" w:eastAsia="仿宋"/>
          <w:color w:val="000000"/>
        </w:rPr>
      </w:pPr>
      <w:r>
        <w:rPr>
          <w:rFonts w:hint="eastAsia" w:ascii="仿宋" w:hAnsi="仿宋" w:eastAsia="仿宋"/>
          <w:color w:val="000000"/>
          <w:sz w:val="24"/>
        </w:rPr>
        <w:t xml:space="preserve">                         投标人（公章）：</w:t>
      </w:r>
      <w:r>
        <w:rPr>
          <w:rFonts w:hint="eastAsia" w:ascii="仿宋" w:hAnsi="仿宋" w:eastAsia="仿宋"/>
          <w:color w:val="000000"/>
          <w:sz w:val="24"/>
          <w:u w:val="single"/>
        </w:rPr>
        <w:t xml:space="preserve">               </w:t>
      </w:r>
      <w:r>
        <w:rPr>
          <w:rFonts w:hint="eastAsia" w:ascii="仿宋" w:hAnsi="仿宋" w:eastAsia="仿宋"/>
          <w:color w:val="000000"/>
        </w:rPr>
        <w:t xml:space="preserve">                                        </w:t>
      </w:r>
    </w:p>
    <w:p>
      <w:pPr>
        <w:ind w:left="405" w:leftChars="193" w:firstLine="4344" w:firstLineChars="1810"/>
        <w:rPr>
          <w:rFonts w:ascii="仿宋" w:hAnsi="仿宋" w:eastAsia="仿宋"/>
          <w:color w:val="000000"/>
          <w:sz w:val="24"/>
        </w:rPr>
      </w:pPr>
    </w:p>
    <w:p>
      <w:pPr>
        <w:ind w:left="405" w:leftChars="193" w:firstLine="4344" w:firstLineChars="1810"/>
        <w:rPr>
          <w:rFonts w:ascii="仿宋" w:hAnsi="仿宋" w:eastAsia="仿宋"/>
          <w:color w:val="000000"/>
          <w:sz w:val="24"/>
        </w:rPr>
      </w:pPr>
      <w:r>
        <w:rPr>
          <w:rFonts w:hint="eastAsia" w:ascii="仿宋" w:hAnsi="仿宋" w:eastAsia="仿宋"/>
          <w:color w:val="000000"/>
          <w:sz w:val="24"/>
        </w:rPr>
        <w:t>日期：</w:t>
      </w:r>
      <w:r>
        <w:rPr>
          <w:rFonts w:hint="eastAsia" w:ascii="仿宋" w:hAnsi="仿宋" w:eastAsia="仿宋"/>
          <w:color w:val="000000"/>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Segoe UI Symbol">
    <w:panose1 w:val="020B0502040204020203"/>
    <w:charset w:val="00"/>
    <w:family w:val="swiss"/>
    <w:pitch w:val="default"/>
    <w:sig w:usb0="8000006F" w:usb1="1200FBEF" w:usb2="0004C000" w:usb3="00000000" w:csb0="00000001" w:csb1="4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yN2YyNzI1YWM1N2QwZGY3ZjZiYmNhZDFkOTU2Y2YifQ=="/>
  </w:docVars>
  <w:rsids>
    <w:rsidRoot w:val="005F79C6"/>
    <w:rsid w:val="00040727"/>
    <w:rsid w:val="00062004"/>
    <w:rsid w:val="00096D9C"/>
    <w:rsid w:val="000C1608"/>
    <w:rsid w:val="00135363"/>
    <w:rsid w:val="0014339F"/>
    <w:rsid w:val="00172FD3"/>
    <w:rsid w:val="001929ED"/>
    <w:rsid w:val="00193521"/>
    <w:rsid w:val="001B1358"/>
    <w:rsid w:val="001E1EC2"/>
    <w:rsid w:val="001E501C"/>
    <w:rsid w:val="00217F50"/>
    <w:rsid w:val="00224EAF"/>
    <w:rsid w:val="002363A2"/>
    <w:rsid w:val="00261301"/>
    <w:rsid w:val="002673A6"/>
    <w:rsid w:val="002A0EDF"/>
    <w:rsid w:val="002C07FB"/>
    <w:rsid w:val="002D68AB"/>
    <w:rsid w:val="002F51B7"/>
    <w:rsid w:val="00305B39"/>
    <w:rsid w:val="00333C6F"/>
    <w:rsid w:val="00336305"/>
    <w:rsid w:val="003871A6"/>
    <w:rsid w:val="003926C0"/>
    <w:rsid w:val="003A685D"/>
    <w:rsid w:val="003C6FD9"/>
    <w:rsid w:val="0041574A"/>
    <w:rsid w:val="0041651E"/>
    <w:rsid w:val="00463B0D"/>
    <w:rsid w:val="00464417"/>
    <w:rsid w:val="00464E45"/>
    <w:rsid w:val="0047521F"/>
    <w:rsid w:val="004771E6"/>
    <w:rsid w:val="004916EC"/>
    <w:rsid w:val="00514CBE"/>
    <w:rsid w:val="005178C9"/>
    <w:rsid w:val="00552964"/>
    <w:rsid w:val="0056747D"/>
    <w:rsid w:val="00575467"/>
    <w:rsid w:val="005A1467"/>
    <w:rsid w:val="005B3C0F"/>
    <w:rsid w:val="005F79C6"/>
    <w:rsid w:val="006110C9"/>
    <w:rsid w:val="0064330E"/>
    <w:rsid w:val="006868AF"/>
    <w:rsid w:val="00695F1F"/>
    <w:rsid w:val="006C00D3"/>
    <w:rsid w:val="006F4161"/>
    <w:rsid w:val="00724DE3"/>
    <w:rsid w:val="007333DD"/>
    <w:rsid w:val="0074168C"/>
    <w:rsid w:val="007801DC"/>
    <w:rsid w:val="007D744C"/>
    <w:rsid w:val="007F44A6"/>
    <w:rsid w:val="008021A0"/>
    <w:rsid w:val="00802FD7"/>
    <w:rsid w:val="008171CB"/>
    <w:rsid w:val="00832D44"/>
    <w:rsid w:val="00842E99"/>
    <w:rsid w:val="00865555"/>
    <w:rsid w:val="00884B9C"/>
    <w:rsid w:val="00886E6D"/>
    <w:rsid w:val="00891B5F"/>
    <w:rsid w:val="009037BD"/>
    <w:rsid w:val="00936276"/>
    <w:rsid w:val="009511B6"/>
    <w:rsid w:val="009653C3"/>
    <w:rsid w:val="00967075"/>
    <w:rsid w:val="0097049A"/>
    <w:rsid w:val="00973402"/>
    <w:rsid w:val="00984C7E"/>
    <w:rsid w:val="009859CA"/>
    <w:rsid w:val="009A3BA5"/>
    <w:rsid w:val="009D38F7"/>
    <w:rsid w:val="009F25FD"/>
    <w:rsid w:val="00A03183"/>
    <w:rsid w:val="00A04891"/>
    <w:rsid w:val="00A277B4"/>
    <w:rsid w:val="00AB7A64"/>
    <w:rsid w:val="00AC6DDF"/>
    <w:rsid w:val="00B0155C"/>
    <w:rsid w:val="00B1176F"/>
    <w:rsid w:val="00B2132D"/>
    <w:rsid w:val="00B43ED9"/>
    <w:rsid w:val="00B45A2C"/>
    <w:rsid w:val="00B53643"/>
    <w:rsid w:val="00B63316"/>
    <w:rsid w:val="00B76176"/>
    <w:rsid w:val="00B768FA"/>
    <w:rsid w:val="00BA4DF7"/>
    <w:rsid w:val="00BA7478"/>
    <w:rsid w:val="00C043C9"/>
    <w:rsid w:val="00C27D1F"/>
    <w:rsid w:val="00C44089"/>
    <w:rsid w:val="00C820D6"/>
    <w:rsid w:val="00C84FC9"/>
    <w:rsid w:val="00C90129"/>
    <w:rsid w:val="00CE5C69"/>
    <w:rsid w:val="00D06C3E"/>
    <w:rsid w:val="00D167AF"/>
    <w:rsid w:val="00D2616D"/>
    <w:rsid w:val="00D560F0"/>
    <w:rsid w:val="00D624D3"/>
    <w:rsid w:val="00DB3D67"/>
    <w:rsid w:val="00DC0E93"/>
    <w:rsid w:val="00DC353D"/>
    <w:rsid w:val="00DC72EF"/>
    <w:rsid w:val="00E03991"/>
    <w:rsid w:val="00E42A4F"/>
    <w:rsid w:val="00F1571F"/>
    <w:rsid w:val="00F21ACF"/>
    <w:rsid w:val="00F23E21"/>
    <w:rsid w:val="00F62BA7"/>
    <w:rsid w:val="00F732A0"/>
    <w:rsid w:val="00FA7F94"/>
    <w:rsid w:val="00FB70B7"/>
    <w:rsid w:val="00FD1408"/>
    <w:rsid w:val="00FF1BCE"/>
    <w:rsid w:val="00FF5869"/>
    <w:rsid w:val="0179546C"/>
    <w:rsid w:val="022E6257"/>
    <w:rsid w:val="0374413D"/>
    <w:rsid w:val="044004C3"/>
    <w:rsid w:val="04695C6C"/>
    <w:rsid w:val="056F72B2"/>
    <w:rsid w:val="063E0A32"/>
    <w:rsid w:val="067D69E1"/>
    <w:rsid w:val="06915006"/>
    <w:rsid w:val="075E75DE"/>
    <w:rsid w:val="07996296"/>
    <w:rsid w:val="07CD206E"/>
    <w:rsid w:val="07D72EEC"/>
    <w:rsid w:val="08B35707"/>
    <w:rsid w:val="094D67F8"/>
    <w:rsid w:val="0A1B3564"/>
    <w:rsid w:val="0A2148F3"/>
    <w:rsid w:val="0A2C5771"/>
    <w:rsid w:val="0A916DA4"/>
    <w:rsid w:val="0B584344"/>
    <w:rsid w:val="0B9335CE"/>
    <w:rsid w:val="0BA94BA0"/>
    <w:rsid w:val="0BE300B2"/>
    <w:rsid w:val="0F900551"/>
    <w:rsid w:val="10EF574B"/>
    <w:rsid w:val="11895257"/>
    <w:rsid w:val="11C24C0D"/>
    <w:rsid w:val="11DA1F57"/>
    <w:rsid w:val="12AB744F"/>
    <w:rsid w:val="12B51FED"/>
    <w:rsid w:val="143D67CD"/>
    <w:rsid w:val="145C25CC"/>
    <w:rsid w:val="14B95E54"/>
    <w:rsid w:val="14D709D0"/>
    <w:rsid w:val="14DC7D94"/>
    <w:rsid w:val="158A77F0"/>
    <w:rsid w:val="15AF54A9"/>
    <w:rsid w:val="15D46CBD"/>
    <w:rsid w:val="15DF5D8E"/>
    <w:rsid w:val="15F35395"/>
    <w:rsid w:val="177D585E"/>
    <w:rsid w:val="18826EA4"/>
    <w:rsid w:val="18C43019"/>
    <w:rsid w:val="196E4331"/>
    <w:rsid w:val="1A0E5C97"/>
    <w:rsid w:val="1D5A3F4C"/>
    <w:rsid w:val="1DC1291F"/>
    <w:rsid w:val="1E472004"/>
    <w:rsid w:val="21206A57"/>
    <w:rsid w:val="22196184"/>
    <w:rsid w:val="22AC3082"/>
    <w:rsid w:val="231B0D25"/>
    <w:rsid w:val="23476D20"/>
    <w:rsid w:val="253357AE"/>
    <w:rsid w:val="257F09F3"/>
    <w:rsid w:val="25F34F3E"/>
    <w:rsid w:val="266B71CA"/>
    <w:rsid w:val="27A6628F"/>
    <w:rsid w:val="27C430AB"/>
    <w:rsid w:val="28FE60D3"/>
    <w:rsid w:val="29FD282F"/>
    <w:rsid w:val="2B4D7764"/>
    <w:rsid w:val="2D5E5392"/>
    <w:rsid w:val="2F4F1437"/>
    <w:rsid w:val="305D7B83"/>
    <w:rsid w:val="3139239E"/>
    <w:rsid w:val="32A95302"/>
    <w:rsid w:val="32B617CD"/>
    <w:rsid w:val="32FB51AB"/>
    <w:rsid w:val="336D632F"/>
    <w:rsid w:val="342804A8"/>
    <w:rsid w:val="345474EF"/>
    <w:rsid w:val="34C226AB"/>
    <w:rsid w:val="351647A5"/>
    <w:rsid w:val="36341386"/>
    <w:rsid w:val="3744384B"/>
    <w:rsid w:val="37D050DF"/>
    <w:rsid w:val="385950D4"/>
    <w:rsid w:val="395F671A"/>
    <w:rsid w:val="3A2B484E"/>
    <w:rsid w:val="3AA76991"/>
    <w:rsid w:val="3AAA78C2"/>
    <w:rsid w:val="3C5B3823"/>
    <w:rsid w:val="3D694C93"/>
    <w:rsid w:val="3D9F3FD7"/>
    <w:rsid w:val="3E734A16"/>
    <w:rsid w:val="3F035D9A"/>
    <w:rsid w:val="3F604F9A"/>
    <w:rsid w:val="3F7D4CB2"/>
    <w:rsid w:val="4081341A"/>
    <w:rsid w:val="41D81760"/>
    <w:rsid w:val="42B93F41"/>
    <w:rsid w:val="42F425C9"/>
    <w:rsid w:val="431A7B56"/>
    <w:rsid w:val="436E3815"/>
    <w:rsid w:val="4464552C"/>
    <w:rsid w:val="44AE05F8"/>
    <w:rsid w:val="45246A6A"/>
    <w:rsid w:val="459B6D2C"/>
    <w:rsid w:val="460245D3"/>
    <w:rsid w:val="46537607"/>
    <w:rsid w:val="47D227AD"/>
    <w:rsid w:val="48CE11C6"/>
    <w:rsid w:val="49926698"/>
    <w:rsid w:val="4A0155CC"/>
    <w:rsid w:val="4A6A20C3"/>
    <w:rsid w:val="4B644064"/>
    <w:rsid w:val="4BD42F98"/>
    <w:rsid w:val="4CEE1E37"/>
    <w:rsid w:val="4FE614EB"/>
    <w:rsid w:val="51654692"/>
    <w:rsid w:val="521C7446"/>
    <w:rsid w:val="52950FA7"/>
    <w:rsid w:val="52AB2578"/>
    <w:rsid w:val="52EA30A1"/>
    <w:rsid w:val="536746F1"/>
    <w:rsid w:val="537D2167"/>
    <w:rsid w:val="54EF2BF0"/>
    <w:rsid w:val="55DF4BE8"/>
    <w:rsid w:val="56876E58"/>
    <w:rsid w:val="56F91B04"/>
    <w:rsid w:val="57D305A7"/>
    <w:rsid w:val="58C3061C"/>
    <w:rsid w:val="58E81E30"/>
    <w:rsid w:val="5D3C274B"/>
    <w:rsid w:val="5E6C7060"/>
    <w:rsid w:val="5EDB41E5"/>
    <w:rsid w:val="5F2E2567"/>
    <w:rsid w:val="5FAA42E4"/>
    <w:rsid w:val="62943029"/>
    <w:rsid w:val="65075D34"/>
    <w:rsid w:val="650C334B"/>
    <w:rsid w:val="65242442"/>
    <w:rsid w:val="664803B2"/>
    <w:rsid w:val="664D7777"/>
    <w:rsid w:val="66D02156"/>
    <w:rsid w:val="6850354E"/>
    <w:rsid w:val="68CA3301"/>
    <w:rsid w:val="68ED5241"/>
    <w:rsid w:val="6A7E25F5"/>
    <w:rsid w:val="6BE446D9"/>
    <w:rsid w:val="6E2A65EF"/>
    <w:rsid w:val="6F433E0D"/>
    <w:rsid w:val="71233EF6"/>
    <w:rsid w:val="71535E5D"/>
    <w:rsid w:val="73E01C2A"/>
    <w:rsid w:val="745D771F"/>
    <w:rsid w:val="74A0585D"/>
    <w:rsid w:val="764A5A81"/>
    <w:rsid w:val="76515061"/>
    <w:rsid w:val="765863F0"/>
    <w:rsid w:val="76C973FF"/>
    <w:rsid w:val="79C45B4A"/>
    <w:rsid w:val="7B3E6AC3"/>
    <w:rsid w:val="7B8C6B3B"/>
    <w:rsid w:val="7BAB6FC2"/>
    <w:rsid w:val="7C1508DF"/>
    <w:rsid w:val="7C284D51"/>
    <w:rsid w:val="7C2D3A34"/>
    <w:rsid w:val="7D133070"/>
    <w:rsid w:val="7E973746"/>
    <w:rsid w:val="7F4C4618"/>
    <w:rsid w:val="7F8127A0"/>
    <w:rsid w:val="7FB6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qFormat/>
    <w:uiPriority w:val="0"/>
    <w:pPr>
      <w:ind w:firstLine="570"/>
    </w:pPr>
    <w:rPr>
      <w:sz w:val="32"/>
    </w:rPr>
  </w:style>
  <w:style w:type="paragraph" w:styleId="3">
    <w:name w:val="Body Text"/>
    <w:basedOn w:val="1"/>
    <w:semiHidden/>
    <w:unhideWhenUsed/>
    <w:qFormat/>
    <w:uiPriority w:val="99"/>
    <w:pPr>
      <w:spacing w:after="120"/>
    </w:pPr>
  </w:style>
  <w:style w:type="paragraph" w:styleId="4">
    <w:name w:val="List 2"/>
    <w:basedOn w:val="1"/>
    <w:unhideWhenUsed/>
    <w:qFormat/>
    <w:uiPriority w:val="0"/>
    <w:pPr>
      <w:widowControl/>
      <w:suppressAutoHyphens/>
      <w:spacing w:after="312" w:line="360" w:lineRule="auto"/>
      <w:ind w:left="840" w:hanging="420"/>
      <w:jc w:val="left"/>
    </w:pPr>
    <w:rPr>
      <w:rFonts w:ascii="Times New Roman" w:hAnsi="Times New Roman"/>
      <w:kern w:val="0"/>
      <w:sz w:val="20"/>
      <w:szCs w:val="20"/>
    </w:rPr>
  </w:style>
  <w:style w:type="paragraph" w:styleId="5">
    <w:name w:val="Plain Text"/>
    <w:basedOn w:val="1"/>
    <w:link w:val="21"/>
    <w:qFormat/>
    <w:uiPriority w:val="0"/>
    <w:pPr>
      <w:spacing w:beforeLines="50" w:afterLines="50" w:line="400" w:lineRule="atLeast"/>
    </w:pPr>
    <w:rPr>
      <w:rFonts w:ascii="宋体" w:hAnsi="Courier New"/>
      <w:sz w:val="24"/>
      <w:szCs w:val="24"/>
    </w:rPr>
  </w:style>
  <w:style w:type="paragraph" w:styleId="6">
    <w:name w:val="Date"/>
    <w:basedOn w:val="1"/>
    <w:next w:val="1"/>
    <w:link w:val="19"/>
    <w:semiHidden/>
    <w:unhideWhenUsed/>
    <w:qFormat/>
    <w:uiPriority w:val="99"/>
    <w:pPr>
      <w:ind w:left="100" w:leftChars="2500"/>
    </w:pPr>
  </w:style>
  <w:style w:type="paragraph" w:styleId="7">
    <w:name w:val="Body Text Indent 2"/>
    <w:basedOn w:val="1"/>
    <w:link w:val="14"/>
    <w:qFormat/>
    <w:uiPriority w:val="0"/>
    <w:pPr>
      <w:spacing w:after="120" w:line="480" w:lineRule="auto"/>
      <w:ind w:left="420" w:leftChars="200"/>
    </w:pPr>
    <w:rPr>
      <w:rFonts w:ascii="Times New Roman" w:hAnsi="Times New Roman" w:eastAsia="宋体" w:cs="Times New Roman"/>
      <w:sz w:val="28"/>
      <w:szCs w:val="24"/>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3"/>
    <w:semiHidden/>
    <w:unhideWhenUsed/>
    <w:qFormat/>
    <w:uiPriority w:val="99"/>
    <w:pPr>
      <w:ind w:firstLine="420" w:firstLineChars="100"/>
    </w:p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正文文本缩进 2 字符"/>
    <w:basedOn w:val="13"/>
    <w:link w:val="7"/>
    <w:qFormat/>
    <w:uiPriority w:val="0"/>
    <w:rPr>
      <w:rFonts w:ascii="Times New Roman" w:hAnsi="Times New Roman" w:eastAsia="宋体" w:cs="Times New Roman"/>
      <w:sz w:val="28"/>
      <w:szCs w:val="24"/>
    </w:rPr>
  </w:style>
  <w:style w:type="paragraph" w:styleId="15">
    <w:name w:val="List Paragraph"/>
    <w:basedOn w:val="1"/>
    <w:qFormat/>
    <w:uiPriority w:val="34"/>
    <w:pPr>
      <w:ind w:firstLine="420" w:firstLineChars="200"/>
    </w:pPr>
  </w:style>
  <w:style w:type="paragraph" w:customStyle="1" w:styleId="16">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日期 字符"/>
    <w:basedOn w:val="13"/>
    <w:link w:val="6"/>
    <w:semiHidden/>
    <w:qFormat/>
    <w:uiPriority w:val="99"/>
  </w:style>
  <w:style w:type="character" w:customStyle="1" w:styleId="20">
    <w:name w:val="纯文本 Char"/>
    <w:basedOn w:val="13"/>
    <w:qFormat/>
    <w:uiPriority w:val="0"/>
    <w:rPr>
      <w:rFonts w:ascii="宋体" w:hAnsi="Courier New"/>
      <w:sz w:val="24"/>
      <w:szCs w:val="24"/>
    </w:rPr>
  </w:style>
  <w:style w:type="character" w:customStyle="1" w:styleId="21">
    <w:name w:val="纯文本 字符"/>
    <w:basedOn w:val="13"/>
    <w:link w:val="5"/>
    <w:semiHidden/>
    <w:qFormat/>
    <w:uiPriority w:val="99"/>
    <w:rPr>
      <w:rFonts w:ascii="宋体" w:hAnsi="Courier New" w:eastAsia="宋体" w:cs="Courier New"/>
      <w:szCs w:val="21"/>
    </w:rPr>
  </w:style>
  <w:style w:type="paragraph" w:customStyle="1" w:styleId="22">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3">
    <w:name w:val="font21"/>
    <w:basedOn w:val="13"/>
    <w:qFormat/>
    <w:uiPriority w:val="0"/>
    <w:rPr>
      <w:rFonts w:hint="default" w:ascii="Times New Roman" w:hAnsi="Times New Roman" w:cs="Times New Roman"/>
      <w:color w:val="000000"/>
      <w:sz w:val="20"/>
      <w:szCs w:val="20"/>
      <w:u w:val="none"/>
    </w:rPr>
  </w:style>
  <w:style w:type="character" w:customStyle="1" w:styleId="24">
    <w:name w:val="font11"/>
    <w:basedOn w:val="13"/>
    <w:qFormat/>
    <w:uiPriority w:val="0"/>
    <w:rPr>
      <w:rFonts w:hint="eastAsia" w:ascii="宋体" w:hAnsi="宋体" w:eastAsia="宋体" w:cs="宋体"/>
      <w:color w:val="000000"/>
      <w:sz w:val="20"/>
      <w:szCs w:val="20"/>
      <w:u w:val="none"/>
    </w:rPr>
  </w:style>
  <w:style w:type="character" w:customStyle="1" w:styleId="25">
    <w:name w:val="font01"/>
    <w:basedOn w:val="13"/>
    <w:qFormat/>
    <w:uiPriority w:val="0"/>
    <w:rPr>
      <w:rFonts w:ascii="Segoe UI Symbol" w:hAnsi="Segoe UI Symbol" w:eastAsia="Segoe UI Symbol" w:cs="Segoe UI Symbo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1927</Words>
  <Characters>10988</Characters>
  <Lines>91</Lines>
  <Paragraphs>25</Paragraphs>
  <TotalTime>8</TotalTime>
  <ScaleCrop>false</ScaleCrop>
  <LinksUpToDate>false</LinksUpToDate>
  <CharactersWithSpaces>12890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2023-04-25T15:41:00Z</dcterms:created>
  <dc:creator>微软用户</dc:creator>
  <cp:lastModifiedBy>admin</cp:lastModifiedBy>
  <dcterms:modified xsi:type="dcterms:W3CDTF">2023-05-05T07:20:13Z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94FDD2F0F4214176B8181A30A6255BAD_12</vt:lpwstr>
  </property>
</Properties>
</file>