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EB0D1">
      <w:pPr>
        <w:adjustRightInd w:val="0"/>
        <w:snapToGrid w:val="0"/>
        <w:jc w:val="center"/>
        <w:rPr>
          <w:rFonts w:ascii="仿宋" w:hAnsi="仿宋" w:eastAsia="仿宋" w:cs="仿宋_GB2312"/>
          <w:b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b/>
          <w:color w:val="auto"/>
          <w:sz w:val="32"/>
          <w:szCs w:val="32"/>
          <w:lang w:eastAsia="zh-CN"/>
        </w:rPr>
        <w:t>湖州师范学院工学院四通道电化学工作站采购项目</w:t>
      </w:r>
      <w:r>
        <w:rPr>
          <w:rFonts w:hint="eastAsia" w:ascii="仿宋" w:hAnsi="仿宋" w:eastAsia="仿宋" w:cs="仿宋_GB2312"/>
          <w:b/>
          <w:color w:val="auto"/>
          <w:sz w:val="32"/>
          <w:szCs w:val="32"/>
        </w:rPr>
        <w:t>询价文件</w:t>
      </w:r>
    </w:p>
    <w:p w14:paraId="296F47D1">
      <w:pPr>
        <w:rPr>
          <w:rFonts w:ascii="仿宋" w:hAnsi="仿宋" w:eastAsia="仿宋" w:cs="仿宋_GB2312"/>
          <w:b/>
          <w:color w:val="auto"/>
          <w:sz w:val="24"/>
        </w:rPr>
      </w:pPr>
    </w:p>
    <w:p w14:paraId="3942B109">
      <w:pPr>
        <w:ind w:firstLine="472" w:firstLineChars="196"/>
        <w:rPr>
          <w:rFonts w:ascii="仿宋" w:hAnsi="仿宋" w:eastAsia="仿宋" w:cs="仿宋_GB2312"/>
          <w:b/>
          <w:color w:val="auto"/>
          <w:sz w:val="24"/>
        </w:rPr>
      </w:pPr>
      <w:r>
        <w:rPr>
          <w:rFonts w:hint="eastAsia" w:ascii="仿宋" w:hAnsi="仿宋" w:eastAsia="仿宋" w:cs="仿宋_GB2312"/>
          <w:b/>
          <w:color w:val="auto"/>
          <w:sz w:val="24"/>
        </w:rPr>
        <w:t>一、采购项目名称、采购清单及要求：</w:t>
      </w:r>
    </w:p>
    <w:p w14:paraId="20FE0B2D">
      <w:pPr>
        <w:ind w:firstLine="482" w:firstLineChars="200"/>
        <w:rPr>
          <w:rFonts w:hint="eastAsia" w:ascii="仿宋" w:hAnsi="仿宋" w:eastAsia="仿宋" w:cs="宋体"/>
          <w:color w:val="auto"/>
          <w:kern w:val="0"/>
          <w:sz w:val="24"/>
          <w:lang w:eastAsia="zh-CN"/>
        </w:rPr>
      </w:pPr>
      <w:r>
        <w:rPr>
          <w:rFonts w:ascii="仿宋" w:hAnsi="仿宋" w:eastAsia="仿宋" w:cs="仿宋_GB2312"/>
          <w:b/>
          <w:color w:val="auto"/>
          <w:sz w:val="24"/>
        </w:rPr>
        <w:t>1.</w:t>
      </w:r>
      <w:r>
        <w:rPr>
          <w:rFonts w:hint="eastAsia" w:ascii="仿宋" w:hAnsi="仿宋" w:eastAsia="仿宋" w:cs="仿宋_GB2312"/>
          <w:b/>
          <w:color w:val="auto"/>
          <w:sz w:val="24"/>
        </w:rPr>
        <w:t>采购项目名称：</w:t>
      </w:r>
      <w:r>
        <w:rPr>
          <w:rFonts w:hint="eastAsia" w:ascii="仿宋" w:hAnsi="仿宋" w:eastAsia="仿宋" w:cs="宋体"/>
          <w:color w:val="auto"/>
          <w:kern w:val="0"/>
          <w:sz w:val="24"/>
          <w:lang w:eastAsia="zh-CN"/>
        </w:rPr>
        <w:t>湖州师范学院工学院四通道电化学工作站采购项目</w:t>
      </w:r>
    </w:p>
    <w:p w14:paraId="399FBD5C">
      <w:pPr>
        <w:ind w:firstLine="482" w:firstLineChars="200"/>
        <w:rPr>
          <w:rFonts w:hint="eastAsia" w:ascii="仿宋" w:hAnsi="仿宋" w:eastAsia="仿宋" w:cs="仿宋_GB2312"/>
          <w:color w:val="auto"/>
          <w:sz w:val="24"/>
          <w:lang w:eastAsia="zh-CN"/>
        </w:rPr>
      </w:pPr>
      <w:r>
        <w:rPr>
          <w:rFonts w:ascii="仿宋" w:hAnsi="仿宋" w:eastAsia="仿宋" w:cs="仿宋_GB2312"/>
          <w:b/>
          <w:color w:val="auto"/>
          <w:sz w:val="24"/>
        </w:rPr>
        <w:t>2.</w:t>
      </w:r>
      <w:r>
        <w:rPr>
          <w:rFonts w:hint="eastAsia" w:ascii="仿宋" w:hAnsi="仿宋" w:eastAsia="仿宋" w:cs="仿宋_GB2312"/>
          <w:b/>
          <w:color w:val="auto"/>
          <w:sz w:val="24"/>
        </w:rPr>
        <w:t>采购项目编号：</w:t>
      </w:r>
      <w:r>
        <w:rPr>
          <w:rFonts w:hint="eastAsia" w:ascii="仿宋" w:hAnsi="仿宋" w:eastAsia="仿宋" w:cs="仿宋_GB2312"/>
          <w:color w:val="auto"/>
          <w:sz w:val="24"/>
          <w:lang w:eastAsia="zh-CN"/>
        </w:rPr>
        <w:t>XZ2025-010</w:t>
      </w:r>
    </w:p>
    <w:p w14:paraId="6E5C8BD6">
      <w:pPr>
        <w:ind w:firstLine="482" w:firstLineChars="200"/>
        <w:rPr>
          <w:rFonts w:hint="eastAsia" w:ascii="仿宋" w:hAnsi="仿宋" w:eastAsia="仿宋" w:cs="仿宋_GB2312"/>
          <w:color w:val="auto"/>
          <w:sz w:val="24"/>
          <w:lang w:val="en-US" w:eastAsia="zh-CN"/>
        </w:rPr>
      </w:pPr>
      <w:r>
        <w:rPr>
          <w:rFonts w:ascii="仿宋" w:hAnsi="仿宋" w:eastAsia="仿宋" w:cs="仿宋_GB2312"/>
          <w:b/>
          <w:color w:val="auto"/>
          <w:sz w:val="24"/>
        </w:rPr>
        <w:t>3.</w:t>
      </w:r>
      <w:r>
        <w:rPr>
          <w:rFonts w:hint="eastAsia" w:ascii="仿宋" w:hAnsi="仿宋" w:eastAsia="仿宋" w:cs="仿宋_GB2312"/>
          <w:b/>
          <w:color w:val="auto"/>
          <w:sz w:val="24"/>
        </w:rPr>
        <w:t>采购组织类型：</w:t>
      </w:r>
      <w:r>
        <w:rPr>
          <w:rFonts w:hint="eastAsia" w:ascii="仿宋" w:hAnsi="仿宋" w:eastAsia="仿宋" w:cs="仿宋_GB2312"/>
          <w:color w:val="auto"/>
          <w:sz w:val="24"/>
        </w:rPr>
        <w:t>分散采购自行组织</w:t>
      </w:r>
    </w:p>
    <w:p w14:paraId="7F49DB70">
      <w:pPr>
        <w:ind w:firstLine="482" w:firstLineChars="200"/>
        <w:rPr>
          <w:rFonts w:ascii="仿宋" w:hAnsi="仿宋" w:eastAsia="仿宋" w:cs="仿宋_GB2312"/>
          <w:color w:val="auto"/>
          <w:sz w:val="24"/>
        </w:rPr>
      </w:pPr>
      <w:r>
        <w:rPr>
          <w:rFonts w:ascii="仿宋" w:hAnsi="仿宋" w:eastAsia="仿宋" w:cs="仿宋_GB2312"/>
          <w:b/>
          <w:color w:val="auto"/>
          <w:sz w:val="24"/>
        </w:rPr>
        <w:t>4.</w:t>
      </w:r>
      <w:r>
        <w:rPr>
          <w:rFonts w:hint="eastAsia" w:ascii="仿宋" w:hAnsi="仿宋" w:eastAsia="仿宋" w:cs="仿宋_GB2312"/>
          <w:b/>
          <w:color w:val="auto"/>
          <w:sz w:val="24"/>
        </w:rPr>
        <w:t>采购方式：</w:t>
      </w:r>
      <w:r>
        <w:rPr>
          <w:rFonts w:hint="eastAsia" w:ascii="仿宋" w:hAnsi="仿宋" w:eastAsia="仿宋" w:cs="仿宋_GB2312"/>
          <w:color w:val="auto"/>
          <w:sz w:val="24"/>
        </w:rPr>
        <w:t>校内询价</w:t>
      </w:r>
    </w:p>
    <w:p w14:paraId="52DAA4B3">
      <w:pPr>
        <w:ind w:firstLine="482" w:firstLineChars="200"/>
        <w:rPr>
          <w:rFonts w:ascii="仿宋" w:hAnsi="仿宋" w:eastAsia="仿宋" w:cs="仿宋_GB2312"/>
          <w:b/>
          <w:color w:val="auto"/>
          <w:sz w:val="24"/>
        </w:rPr>
      </w:pPr>
      <w:r>
        <w:rPr>
          <w:rFonts w:ascii="仿宋" w:hAnsi="仿宋" w:eastAsia="仿宋" w:cs="仿宋_GB2312"/>
          <w:b/>
          <w:color w:val="auto"/>
          <w:sz w:val="24"/>
        </w:rPr>
        <w:t>5.</w:t>
      </w:r>
      <w:r>
        <w:rPr>
          <w:rFonts w:hint="eastAsia" w:ascii="仿宋" w:hAnsi="仿宋" w:eastAsia="仿宋" w:cs="仿宋_GB2312"/>
          <w:b/>
          <w:color w:val="auto"/>
          <w:sz w:val="24"/>
        </w:rPr>
        <w:t>采购预算：</w:t>
      </w:r>
      <w:r>
        <w:rPr>
          <w:rFonts w:hint="eastAsia" w:ascii="仿宋" w:hAnsi="仿宋" w:eastAsia="仿宋" w:cs="仿宋_GB2312"/>
          <w:bCs/>
          <w:color w:val="auto"/>
          <w:sz w:val="24"/>
        </w:rPr>
        <w:t>人民币：</w:t>
      </w:r>
      <w:r>
        <w:rPr>
          <w:rFonts w:hint="eastAsia" w:ascii="仿宋" w:hAnsi="仿宋" w:eastAsia="仿宋" w:cs="仿宋_GB2312"/>
          <w:bCs/>
          <w:color w:val="auto"/>
          <w:sz w:val="24"/>
          <w:lang w:val="en-US" w:eastAsia="zh-CN"/>
        </w:rPr>
        <w:t>玖万叁仟陆佰</w:t>
      </w:r>
      <w:r>
        <w:rPr>
          <w:rFonts w:hint="eastAsia" w:ascii="仿宋" w:hAnsi="仿宋" w:eastAsia="仿宋" w:cs="仿宋_GB2312"/>
          <w:bCs/>
          <w:color w:val="auto"/>
          <w:sz w:val="24"/>
        </w:rPr>
        <w:t>元整（￥</w:t>
      </w:r>
      <w:r>
        <w:rPr>
          <w:rFonts w:hint="eastAsia" w:ascii="仿宋" w:hAnsi="仿宋" w:eastAsia="仿宋" w:cs="仿宋_GB2312"/>
          <w:bCs/>
          <w:color w:val="auto"/>
          <w:sz w:val="24"/>
          <w:lang w:val="en-US" w:eastAsia="zh-CN"/>
        </w:rPr>
        <w:t>93600</w:t>
      </w:r>
      <w:r>
        <w:rPr>
          <w:rFonts w:hint="eastAsia" w:ascii="仿宋" w:hAnsi="仿宋" w:eastAsia="仿宋" w:cs="仿宋_GB2312"/>
          <w:bCs/>
          <w:color w:val="auto"/>
          <w:sz w:val="24"/>
        </w:rPr>
        <w:t>元）；包含货物费、运输费、安装调试费、服务费、税费等全部费用在内。</w:t>
      </w:r>
    </w:p>
    <w:p w14:paraId="289413AE">
      <w:pPr>
        <w:ind w:firstLine="482" w:firstLineChars="200"/>
        <w:rPr>
          <w:rFonts w:ascii="仿宋" w:hAnsi="仿宋" w:eastAsia="仿宋" w:cs="仿宋_GB2312"/>
          <w:color w:val="auto"/>
          <w:sz w:val="24"/>
        </w:rPr>
      </w:pPr>
      <w:r>
        <w:rPr>
          <w:rFonts w:ascii="仿宋" w:hAnsi="仿宋" w:eastAsia="仿宋" w:cs="仿宋_GB2312"/>
          <w:b/>
          <w:color w:val="auto"/>
          <w:sz w:val="24"/>
        </w:rPr>
        <w:t>6.</w:t>
      </w:r>
      <w:r>
        <w:rPr>
          <w:rFonts w:hint="eastAsia" w:ascii="仿宋" w:hAnsi="仿宋" w:eastAsia="仿宋" w:cs="仿宋_GB2312"/>
          <w:b/>
          <w:color w:val="auto"/>
          <w:sz w:val="24"/>
        </w:rPr>
        <w:t>采购清单</w:t>
      </w:r>
      <w:r>
        <w:rPr>
          <w:rFonts w:hint="eastAsia" w:ascii="仿宋" w:hAnsi="仿宋" w:eastAsia="仿宋" w:cs="仿宋_GB2312"/>
          <w:color w:val="auto"/>
          <w:sz w:val="24"/>
        </w:rPr>
        <w:t>（包括货物名称、技术参数、数量、单位等）：</w:t>
      </w:r>
    </w:p>
    <w:tbl>
      <w:tblPr>
        <w:tblStyle w:val="13"/>
        <w:tblW w:w="100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906"/>
        <w:gridCol w:w="6387"/>
        <w:gridCol w:w="1375"/>
        <w:gridCol w:w="461"/>
        <w:gridCol w:w="427"/>
      </w:tblGrid>
      <w:tr w14:paraId="5F6A9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20" w:type="dxa"/>
            <w:vAlign w:val="center"/>
          </w:tcPr>
          <w:p w14:paraId="10D60EEF">
            <w:pPr>
              <w:pStyle w:val="11"/>
              <w:widowControl/>
              <w:spacing w:before="0" w:beforeAutospacing="0" w:after="0" w:afterAutospacing="0" w:line="0" w:lineRule="atLeast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906" w:type="dxa"/>
            <w:vAlign w:val="center"/>
          </w:tcPr>
          <w:p w14:paraId="7E00CC9D">
            <w:pPr>
              <w:pStyle w:val="11"/>
              <w:widowControl/>
              <w:spacing w:before="0" w:beforeAutospacing="0" w:after="0" w:afterAutospacing="0" w:line="0" w:lineRule="atLeast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6387" w:type="dxa"/>
            <w:vAlign w:val="center"/>
          </w:tcPr>
          <w:p w14:paraId="5CBAB3A7">
            <w:pPr>
              <w:pStyle w:val="11"/>
              <w:widowControl/>
              <w:spacing w:before="0" w:beforeAutospacing="0" w:after="0" w:afterAutospacing="0" w:line="0" w:lineRule="atLeast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技术参数需求</w:t>
            </w:r>
          </w:p>
        </w:tc>
        <w:tc>
          <w:tcPr>
            <w:tcW w:w="1375" w:type="dxa"/>
            <w:vAlign w:val="center"/>
          </w:tcPr>
          <w:p w14:paraId="5334A693">
            <w:pPr>
              <w:pStyle w:val="11"/>
              <w:widowControl/>
              <w:spacing w:before="0" w:beforeAutospacing="0" w:after="0" w:afterAutospacing="0" w:line="0" w:lineRule="atLeast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配置要求</w:t>
            </w:r>
          </w:p>
        </w:tc>
        <w:tc>
          <w:tcPr>
            <w:tcW w:w="461" w:type="dxa"/>
            <w:vAlign w:val="center"/>
          </w:tcPr>
          <w:p w14:paraId="1773D24A">
            <w:pPr>
              <w:pStyle w:val="11"/>
              <w:widowControl/>
              <w:spacing w:before="0" w:beforeAutospacing="0" w:after="0" w:afterAutospacing="0" w:line="0" w:lineRule="atLeast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427" w:type="dxa"/>
            <w:vAlign w:val="center"/>
          </w:tcPr>
          <w:p w14:paraId="48A61690">
            <w:pPr>
              <w:pStyle w:val="11"/>
              <w:widowControl/>
              <w:spacing w:before="0" w:beforeAutospacing="0" w:after="0" w:afterAutospacing="0" w:line="0" w:lineRule="atLeast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数量</w:t>
            </w:r>
          </w:p>
        </w:tc>
      </w:tr>
      <w:tr w14:paraId="17CC4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520" w:type="dxa"/>
            <w:vAlign w:val="center"/>
          </w:tcPr>
          <w:p w14:paraId="2A7A07CB"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906" w:type="dxa"/>
            <w:vAlign w:val="center"/>
          </w:tcPr>
          <w:p w14:paraId="3E65E38E">
            <w:pPr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四通道电化学工作站</w:t>
            </w:r>
          </w:p>
        </w:tc>
        <w:tc>
          <w:tcPr>
            <w:tcW w:w="6387" w:type="dxa"/>
            <w:vAlign w:val="center"/>
          </w:tcPr>
          <w:p w14:paraId="2E60D155">
            <w:pPr>
              <w:jc w:val="both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硬件参数指标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：</w:t>
            </w:r>
          </w:p>
          <w:p w14:paraId="2162F1B3">
            <w:pPr>
              <w:jc w:val="both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插拔式多通道设计，通道独立可拓展，通道数可自由扩展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  <w:p w14:paraId="63CF4589">
            <w:pPr>
              <w:jc w:val="both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软件支持用户脚本和Labview协议，通过自定义方法组合，可实现无人值守下的自动测量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  <w:p w14:paraId="364133FF">
            <w:pPr>
              <w:jc w:val="both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预留丝束阵列扫描接口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  <w:p w14:paraId="309CFF08">
            <w:pPr>
              <w:jc w:val="both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FFT频谱分析、丝束电极阻抗分析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  <w:p w14:paraId="462C9659">
            <w:pPr>
              <w:jc w:val="both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网口通讯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  <w:p w14:paraId="548CB99C">
            <w:pPr>
              <w:jc w:val="both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  <w:t>恒电位控制范围：±10V</w:t>
            </w:r>
          </w:p>
          <w:p w14:paraId="2EEE21E1">
            <w:pPr>
              <w:jc w:val="both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7.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  <w:t>恒电流控制范围：±1.0A</w:t>
            </w:r>
          </w:p>
          <w:p w14:paraId="0ECB2F0B">
            <w:pPr>
              <w:jc w:val="both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8.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  <w:t>电位控制精度：0.1%×满量程读数±1mV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  <w:tab/>
            </w:r>
          </w:p>
          <w:p w14:paraId="21242F5A">
            <w:pPr>
              <w:jc w:val="both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9.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  <w:t>电流控制精度：0.1%×满量程读数</w:t>
            </w:r>
          </w:p>
          <w:p w14:paraId="00257006">
            <w:pPr>
              <w:jc w:val="both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10.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  <w:t>电位分辨率：10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  <w:sym w:font="Symbol" w:char="006D"/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  <w:t>V(&gt;100Hz), 3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  <w:sym w:font="Symbol" w:char="006D"/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  <w:t>V(&lt;10Hz)</w:t>
            </w:r>
          </w:p>
          <w:p w14:paraId="5E12E4D2">
            <w:pPr>
              <w:jc w:val="both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11.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  <w:t>电流灵敏度：1pA</w:t>
            </w:r>
          </w:p>
          <w:p w14:paraId="45C0FEA5">
            <w:pPr>
              <w:jc w:val="both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12.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  <w:t>电流量程：2nA～2 A， 共10档</w:t>
            </w:r>
          </w:p>
          <w:p w14:paraId="4C6DB696">
            <w:pPr>
              <w:jc w:val="both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13.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  <w:t>CV 和LSV扫描速度：0.001mV～10000V/s</w:t>
            </w:r>
          </w:p>
          <w:p w14:paraId="23928238">
            <w:pPr>
              <w:jc w:val="both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14.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  <w:t>CA和CC脉冲宽度：0.0001～65000s</w:t>
            </w:r>
          </w:p>
          <w:p w14:paraId="59F24CA2">
            <w:pPr>
              <w:jc w:val="both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15.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  <w:t>电流扫描增量：1mA@1A/mS</w:t>
            </w:r>
          </w:p>
          <w:p w14:paraId="1578D4EF">
            <w:pPr>
              <w:jc w:val="both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16.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  <w:t>电位扫描时电位增量：0.076mV@1V/mS</w:t>
            </w:r>
          </w:p>
          <w:p w14:paraId="373AEFBD">
            <w:pPr>
              <w:jc w:val="both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17.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  <w:t>AD数据采集：16bit@1MHz，20bit@1KHz</w:t>
            </w:r>
          </w:p>
          <w:p w14:paraId="7BB146D2">
            <w:pPr>
              <w:jc w:val="both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18.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  <w:t>DA分辨率：16bit，建立时间：1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  <w:sym w:font="Symbol" w:char="006D"/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  <w:t>S</w:t>
            </w:r>
          </w:p>
          <w:p w14:paraId="1B52BF10">
            <w:pPr>
              <w:jc w:val="both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19.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  <w:t>CV的最小电位增量：0.075mV</w:t>
            </w:r>
          </w:p>
          <w:p w14:paraId="6037F30F">
            <w:pPr>
              <w:jc w:val="both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20.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  <w:t>IMP频率：10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  <w:sym w:font="Symbol" w:char="F06D"/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  <w:t>Hz~1MHz</w:t>
            </w:r>
          </w:p>
          <w:p w14:paraId="1BD3644C">
            <w:pPr>
              <w:jc w:val="both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21.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  <w:t>低通滤波器：8段可编程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  <w:p w14:paraId="1F76D323">
            <w:pPr>
              <w:jc w:val="both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22.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  <w:t>电流与电位量程：自动设置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  <w:p w14:paraId="66D16AA0">
            <w:pPr>
              <w:jc w:val="both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23.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  <w:t>槽压：±21V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（可定制3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  <w:t>0V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）</w:t>
            </w:r>
          </w:p>
          <w:p w14:paraId="4CE0D116">
            <w:pPr>
              <w:jc w:val="both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24.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  <w:t>阻抗频率响应：10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  <w:sym w:font="Symbol" w:char="F06D"/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  <w:t>Hz~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1M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  <w:t>Hz</w:t>
            </w:r>
          </w:p>
          <w:p w14:paraId="32118971">
            <w:pPr>
              <w:jc w:val="both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25.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 xml:space="preserve">频率精确度：0.005% </w:t>
            </w:r>
          </w:p>
          <w:p w14:paraId="417B4F7E">
            <w:pPr>
              <w:jc w:val="both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26.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信号分辨率：0.1mV RMS</w:t>
            </w:r>
          </w:p>
          <w:p w14:paraId="4E1DF604">
            <w:pPr>
              <w:jc w:val="both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27.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 xml:space="preserve">DDS输出阻抗：50Ω </w:t>
            </w:r>
          </w:p>
          <w:p w14:paraId="234451EF">
            <w:pPr>
              <w:jc w:val="both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28.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直流偏压：-10V～+10V</w:t>
            </w:r>
          </w:p>
          <w:p w14:paraId="649EAD8D">
            <w:pPr>
              <w:jc w:val="both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29.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 xml:space="preserve">正弦波失真率：&lt;1% </w:t>
            </w:r>
          </w:p>
          <w:p w14:paraId="5F817D54">
            <w:pPr>
              <w:jc w:val="both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30.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波形：正弦波，三角波，方波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  <w:p w14:paraId="197A587B">
            <w:pPr>
              <w:jc w:val="both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31.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扫描方式：对数/线性，增加/下降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  <w:p w14:paraId="37194B93">
            <w:pPr>
              <w:jc w:val="both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软件测试功能方法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：</w:t>
            </w:r>
          </w:p>
          <w:p w14:paraId="20B580C1">
            <w:pPr>
              <w:jc w:val="both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32.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电化学测试功能：开路电位测试（OCP）、恒电位测试（it曲线测试）、恒电流测试、循环伏安测试（CV）、线性扫描伏安测试（LSV）、方波伏安法（SWV）、差分脉冲伏安法（DPV）、常规脉冲伏安法（NPV）、极化曲线测试（Tafel）、循环极化曲线（CPP）、电池充放电测试（GCD）、恒电位间歇滴定技术（PITT）、恒电流间歇滴定技术（GITT）、电化学噪声测试（EN）、氢扩散测试（HDT）、盘环电极测试（RRDE）、法拉第效率测试（FET）、其它外设扩展端口（定制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  <w:p w14:paraId="5B86869F">
            <w:pPr>
              <w:jc w:val="both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交流阻抗功能模块：</w:t>
            </w:r>
          </w:p>
          <w:p w14:paraId="4A55B86C">
            <w:pPr>
              <w:jc w:val="both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33.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  <w:t>电化学阻抗（EIS）～频率扫描、电化学阻抗（EIS）～时间扫描、电化学阻抗（EIS）～电位扫描（Mott-Schottky曲线）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、恒流交流阻抗测试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375" w:type="dxa"/>
            <w:vAlign w:val="center"/>
          </w:tcPr>
          <w:p w14:paraId="487775A5">
            <w:pPr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仪器主机1台、CorrTest测试与分析软件1套、模拟电解池1个、电源线1条、网线1条、电极电缆线N条（N为通道数）</w:t>
            </w:r>
          </w:p>
          <w:p w14:paraId="081FDDF0">
            <w:pPr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61" w:type="dxa"/>
            <w:vAlign w:val="center"/>
          </w:tcPr>
          <w:p w14:paraId="515F5CC7">
            <w:pPr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427" w:type="dxa"/>
            <w:vAlign w:val="center"/>
          </w:tcPr>
          <w:p w14:paraId="666D39B3">
            <w:pPr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</w:tbl>
    <w:p w14:paraId="0A049AE3">
      <w:pPr>
        <w:ind w:firstLine="472" w:firstLineChars="196"/>
        <w:rPr>
          <w:rFonts w:hint="eastAsia" w:ascii="仿宋" w:hAnsi="仿宋" w:eastAsia="仿宋"/>
          <w:b/>
          <w:bCs/>
          <w:color w:val="auto"/>
          <w:sz w:val="24"/>
        </w:rPr>
      </w:pPr>
    </w:p>
    <w:p w14:paraId="308556F3">
      <w:pPr>
        <w:ind w:firstLine="472" w:firstLineChars="196"/>
        <w:rPr>
          <w:rFonts w:ascii="仿宋" w:hAnsi="仿宋" w:eastAsia="仿宋"/>
          <w:b/>
          <w:bCs/>
          <w:color w:val="auto"/>
          <w:sz w:val="24"/>
        </w:rPr>
      </w:pPr>
      <w:r>
        <w:rPr>
          <w:rFonts w:hint="eastAsia" w:ascii="仿宋" w:hAnsi="仿宋" w:eastAsia="仿宋"/>
          <w:b/>
          <w:bCs/>
          <w:color w:val="auto"/>
          <w:sz w:val="24"/>
        </w:rPr>
        <w:t>二、投标文件要求</w:t>
      </w:r>
    </w:p>
    <w:p w14:paraId="7F8D071C">
      <w:pPr>
        <w:spacing w:line="340" w:lineRule="exact"/>
        <w:ind w:firstLine="480" w:firstLineChars="200"/>
        <w:jc w:val="lef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投标人的投标文件中应包含以下内容（投标文件密封，一式两份，一正一副，胶装成册。所有证件均须真实、有效，复印件均须加盖公章，</w:t>
      </w:r>
      <w:r>
        <w:rPr>
          <w:rFonts w:hint="eastAsia" w:ascii="仿宋" w:hAnsi="仿宋" w:eastAsia="仿宋"/>
          <w:b/>
          <w:bCs/>
          <w:color w:val="auto"/>
          <w:sz w:val="24"/>
        </w:rPr>
        <w:t>缺少以下任意一项内容即作无效标处理</w:t>
      </w:r>
      <w:r>
        <w:rPr>
          <w:rFonts w:hint="eastAsia" w:ascii="仿宋" w:hAnsi="仿宋" w:eastAsia="仿宋"/>
          <w:color w:val="auto"/>
          <w:sz w:val="24"/>
        </w:rPr>
        <w:t>）：</w:t>
      </w:r>
    </w:p>
    <w:p w14:paraId="27762647">
      <w:pPr>
        <w:ind w:firstLine="480" w:firstLineChars="200"/>
        <w:jc w:val="left"/>
        <w:rPr>
          <w:rFonts w:ascii="仿宋" w:hAnsi="仿宋" w:eastAsia="仿宋" w:cs="宋体"/>
          <w:color w:val="auto"/>
          <w:sz w:val="24"/>
        </w:rPr>
      </w:pPr>
      <w:r>
        <w:rPr>
          <w:rFonts w:ascii="仿宋" w:hAnsi="仿宋" w:eastAsia="仿宋"/>
          <w:color w:val="auto"/>
          <w:sz w:val="24"/>
        </w:rPr>
        <w:t>1.</w:t>
      </w:r>
      <w:r>
        <w:rPr>
          <w:rFonts w:hint="eastAsia" w:ascii="仿宋" w:hAnsi="仿宋" w:eastAsia="仿宋"/>
          <w:color w:val="auto"/>
          <w:sz w:val="24"/>
        </w:rPr>
        <w:t>投标报价清单</w:t>
      </w:r>
      <w:r>
        <w:rPr>
          <w:rFonts w:ascii="仿宋" w:hAnsi="仿宋" w:eastAsia="仿宋"/>
          <w:color w:val="auto"/>
          <w:sz w:val="24"/>
        </w:rPr>
        <w:t>(</w:t>
      </w:r>
      <w:r>
        <w:rPr>
          <w:rFonts w:hint="eastAsia" w:ascii="仿宋" w:hAnsi="仿宋" w:eastAsia="仿宋" w:cs="仿宋_GB2312"/>
          <w:color w:val="auto"/>
          <w:sz w:val="24"/>
        </w:rPr>
        <w:t>含货物费、运输费、安装调试费、保险费、服务费、税费等全部费用。</w:t>
      </w:r>
      <w:r>
        <w:rPr>
          <w:rFonts w:hint="eastAsia" w:ascii="仿宋" w:hAnsi="仿宋" w:eastAsia="仿宋"/>
          <w:color w:val="auto"/>
          <w:sz w:val="24"/>
        </w:rPr>
        <w:t>投标报价高于采购预算者视为无效报价。报价以人民币计，并以大写为准</w:t>
      </w:r>
      <w:r>
        <w:rPr>
          <w:rFonts w:ascii="仿宋" w:hAnsi="仿宋" w:eastAsia="仿宋"/>
          <w:color w:val="auto"/>
          <w:sz w:val="24"/>
        </w:rPr>
        <w:t>)</w:t>
      </w:r>
      <w:r>
        <w:rPr>
          <w:rFonts w:hint="eastAsia" w:ascii="仿宋" w:hAnsi="仿宋" w:eastAsia="仿宋" w:cs="宋体"/>
          <w:color w:val="auto"/>
          <w:sz w:val="24"/>
        </w:rPr>
        <w:t>。</w:t>
      </w:r>
      <w:r>
        <w:rPr>
          <w:rFonts w:hint="eastAsia" w:ascii="仿宋" w:hAnsi="仿宋" w:eastAsia="仿宋" w:cs="仿宋_GB2312"/>
          <w:b/>
          <w:bCs/>
          <w:color w:val="auto"/>
          <w:sz w:val="24"/>
        </w:rPr>
        <w:t>投标报价清单见附件1；</w:t>
      </w:r>
    </w:p>
    <w:p w14:paraId="25196AF0">
      <w:pPr>
        <w:ind w:firstLine="480" w:firstLineChars="200"/>
        <w:jc w:val="left"/>
        <w:rPr>
          <w:rFonts w:ascii="仿宋" w:hAnsi="仿宋" w:eastAsia="仿宋"/>
          <w:color w:val="auto"/>
          <w:sz w:val="24"/>
        </w:rPr>
      </w:pPr>
      <w:r>
        <w:rPr>
          <w:rFonts w:ascii="仿宋" w:hAnsi="仿宋" w:eastAsia="仿宋"/>
          <w:color w:val="auto"/>
          <w:sz w:val="24"/>
        </w:rPr>
        <w:t>2.</w:t>
      </w:r>
      <w:r>
        <w:rPr>
          <w:rFonts w:hint="eastAsia" w:ascii="仿宋" w:hAnsi="仿宋" w:eastAsia="仿宋"/>
          <w:color w:val="auto"/>
          <w:sz w:val="24"/>
        </w:rPr>
        <w:t>有效的营业执照副本复印件、税务登记证副本复印件；或“三证合一”营业执照副本复印件；或“五证合一”营业执照副本复印件；</w:t>
      </w:r>
    </w:p>
    <w:p w14:paraId="354D6C64">
      <w:pPr>
        <w:ind w:firstLine="480" w:firstLineChars="200"/>
        <w:jc w:val="left"/>
        <w:rPr>
          <w:rFonts w:ascii="仿宋" w:hAnsi="仿宋" w:eastAsia="仿宋"/>
          <w:color w:val="auto"/>
          <w:sz w:val="24"/>
        </w:rPr>
      </w:pPr>
      <w:r>
        <w:rPr>
          <w:rFonts w:ascii="仿宋" w:hAnsi="仿宋" w:eastAsia="仿宋"/>
          <w:color w:val="auto"/>
          <w:sz w:val="24"/>
        </w:rPr>
        <w:t>3.</w:t>
      </w:r>
      <w:r>
        <w:rPr>
          <w:rFonts w:hint="eastAsia" w:ascii="仿宋" w:hAnsi="仿宋" w:eastAsia="仿宋" w:cs="仿宋_GB2312"/>
          <w:color w:val="auto"/>
          <w:sz w:val="24"/>
        </w:rPr>
        <w:t>投标人开户银行、户名、账号；</w:t>
      </w:r>
    </w:p>
    <w:p w14:paraId="711B03CF">
      <w:pPr>
        <w:pStyle w:val="6"/>
        <w:ind w:firstLine="480" w:firstLineChars="200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4.投标代表身份证复印件；如非法定代表人投标，另提供法定代表人授权委托书原件、法定代表人身份证复印件；投标代表需提供在本单位近三个月缴纳社保的凭证；</w:t>
      </w:r>
    </w:p>
    <w:p w14:paraId="01A67D21">
      <w:pPr>
        <w:ind w:firstLine="480" w:firstLineChars="200"/>
        <w:jc w:val="lef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5.投标产品质量及售后服务承诺书；</w:t>
      </w:r>
    </w:p>
    <w:p w14:paraId="73F7A791">
      <w:pPr>
        <w:ind w:firstLine="480" w:firstLineChars="200"/>
        <w:jc w:val="lef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  <w:lang w:val="en-US" w:eastAsia="zh-CN"/>
        </w:rPr>
        <w:t>6.</w:t>
      </w:r>
      <w:r>
        <w:rPr>
          <w:rFonts w:hint="eastAsia" w:ascii="仿宋" w:hAnsi="仿宋" w:eastAsia="仿宋"/>
          <w:color w:val="auto"/>
          <w:sz w:val="24"/>
        </w:rPr>
        <w:t>清单中所有投标产品的彩图及产品说明书（或简介）；</w:t>
      </w:r>
    </w:p>
    <w:p w14:paraId="01F52857">
      <w:pPr>
        <w:ind w:firstLine="480" w:firstLineChars="200"/>
        <w:jc w:val="lef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  <w:lang w:val="en-US" w:eastAsia="zh-CN"/>
        </w:rPr>
        <w:t>7</w:t>
      </w:r>
      <w:r>
        <w:rPr>
          <w:rFonts w:ascii="仿宋" w:hAnsi="仿宋" w:eastAsia="仿宋"/>
          <w:color w:val="auto"/>
          <w:sz w:val="24"/>
        </w:rPr>
        <w:t>.</w:t>
      </w:r>
      <w:r>
        <w:rPr>
          <w:rFonts w:hint="eastAsia" w:ascii="仿宋" w:hAnsi="仿宋" w:eastAsia="仿宋"/>
          <w:color w:val="auto"/>
          <w:sz w:val="24"/>
        </w:rPr>
        <w:t>投标产品的技术参数响应表（</w:t>
      </w:r>
      <w:r>
        <w:rPr>
          <w:rFonts w:hint="eastAsia" w:ascii="仿宋" w:hAnsi="仿宋" w:eastAsia="仿宋"/>
          <w:b/>
          <w:bCs/>
          <w:color w:val="auto"/>
          <w:sz w:val="24"/>
          <w:lang w:val="en-US" w:eastAsia="zh-CN"/>
        </w:rPr>
        <w:t>见附件2</w:t>
      </w:r>
      <w:r>
        <w:rPr>
          <w:rFonts w:hint="eastAsia" w:ascii="仿宋" w:hAnsi="仿宋" w:eastAsia="仿宋"/>
          <w:color w:val="auto"/>
          <w:sz w:val="24"/>
          <w:lang w:val="en-US" w:eastAsia="zh-CN"/>
        </w:rPr>
        <w:t>，</w:t>
      </w:r>
      <w:r>
        <w:rPr>
          <w:rFonts w:hint="eastAsia" w:ascii="仿宋" w:hAnsi="仿宋" w:eastAsia="仿宋"/>
          <w:color w:val="auto"/>
          <w:sz w:val="24"/>
        </w:rPr>
        <w:t>根据技术参数需求制作，技术参数存在负偏离作无效标处理）；</w:t>
      </w:r>
    </w:p>
    <w:p w14:paraId="35690F0B">
      <w:pPr>
        <w:ind w:firstLine="480" w:firstLineChars="200"/>
        <w:jc w:val="lef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  <w:lang w:val="en-US" w:eastAsia="zh-CN"/>
        </w:rPr>
        <w:t>8</w:t>
      </w:r>
      <w:r>
        <w:rPr>
          <w:rFonts w:hint="eastAsia" w:ascii="仿宋" w:hAnsi="仿宋" w:eastAsia="仿宋"/>
          <w:color w:val="auto"/>
          <w:sz w:val="24"/>
        </w:rPr>
        <w:t>.提供自采购公告发布之日起至开标截止时间止的“信用中国”网站（www.creditchina.gov.cn）、中国政府采购网（</w:t>
      </w:r>
      <w:r>
        <w:rPr>
          <w:rFonts w:ascii="仿宋" w:hAnsi="仿宋" w:eastAsia="仿宋"/>
          <w:color w:val="auto"/>
          <w:sz w:val="24"/>
        </w:rPr>
        <w:t>www.ccgp.gov.cn</w:t>
      </w:r>
      <w:r>
        <w:rPr>
          <w:rFonts w:hint="eastAsia" w:ascii="仿宋" w:hAnsi="仿宋" w:eastAsia="仿宋"/>
          <w:color w:val="auto"/>
          <w:sz w:val="24"/>
        </w:rPr>
        <w:t>）、</w:t>
      </w:r>
      <w:r>
        <w:rPr>
          <w:rFonts w:hint="eastAsia" w:ascii="仿宋" w:hAnsi="仿宋" w:eastAsia="仿宋" w:cs="仿宋_GB2312"/>
          <w:color w:val="auto"/>
          <w:sz w:val="24"/>
        </w:rPr>
        <w:t>“浙江政府采购网”（</w:t>
      </w:r>
      <w:r>
        <w:rPr>
          <w:rFonts w:ascii="仿宋" w:hAnsi="仿宋" w:eastAsia="仿宋" w:cs="仿宋_GB2312"/>
          <w:color w:val="auto"/>
          <w:sz w:val="24"/>
        </w:rPr>
        <w:t>zfcg.czt.zj.gov.cn</w:t>
      </w:r>
      <w:r>
        <w:rPr>
          <w:rFonts w:hint="eastAsia" w:ascii="仿宋" w:hAnsi="仿宋" w:eastAsia="仿宋" w:cs="仿宋_GB2312"/>
          <w:color w:val="auto"/>
          <w:sz w:val="24"/>
        </w:rPr>
        <w:t>）</w:t>
      </w:r>
      <w:r>
        <w:rPr>
          <w:rFonts w:hint="eastAsia" w:ascii="仿宋" w:hAnsi="仿宋" w:eastAsia="仿宋"/>
          <w:color w:val="auto"/>
          <w:sz w:val="24"/>
        </w:rPr>
        <w:t>投标人信用查询网页截图（至少提供2个）（以开标当日采购人核实的查询结果为准）；</w:t>
      </w:r>
    </w:p>
    <w:p w14:paraId="279B3C0E">
      <w:pPr>
        <w:ind w:firstLine="480" w:firstLineChars="200"/>
        <w:jc w:val="lef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  <w:lang w:val="en-US" w:eastAsia="zh-CN"/>
        </w:rPr>
        <w:t>9</w:t>
      </w:r>
      <w:r>
        <w:rPr>
          <w:rFonts w:ascii="仿宋" w:hAnsi="仿宋" w:eastAsia="仿宋"/>
          <w:color w:val="auto"/>
          <w:sz w:val="24"/>
        </w:rPr>
        <w:t>.</w:t>
      </w:r>
      <w:r>
        <w:rPr>
          <w:rFonts w:hint="eastAsia" w:ascii="仿宋" w:hAnsi="仿宋" w:eastAsia="仿宋" w:cs="仿宋_GB2312"/>
          <w:color w:val="auto"/>
          <w:sz w:val="24"/>
        </w:rPr>
        <w:t>其他相关材料（采购需求中要求提供的材料，投标人认为需要提供的材料等）。</w:t>
      </w:r>
    </w:p>
    <w:p w14:paraId="409BDFC7">
      <w:pPr>
        <w:spacing w:line="340" w:lineRule="exact"/>
        <w:ind w:firstLine="472" w:firstLineChars="196"/>
        <w:jc w:val="left"/>
        <w:rPr>
          <w:rFonts w:ascii="仿宋" w:hAnsi="仿宋" w:eastAsia="仿宋"/>
          <w:b/>
          <w:bCs/>
          <w:color w:val="auto"/>
          <w:sz w:val="24"/>
        </w:rPr>
      </w:pPr>
      <w:r>
        <w:rPr>
          <w:rFonts w:hint="eastAsia" w:ascii="仿宋" w:hAnsi="仿宋" w:eastAsia="仿宋"/>
          <w:b/>
          <w:bCs/>
          <w:color w:val="auto"/>
          <w:sz w:val="24"/>
        </w:rPr>
        <w:t>三、投标文件递交及开标时间：</w:t>
      </w:r>
    </w:p>
    <w:p w14:paraId="4086BB18">
      <w:pPr>
        <w:spacing w:line="340" w:lineRule="exact"/>
        <w:ind w:firstLine="480" w:firstLineChars="200"/>
        <w:jc w:val="left"/>
        <w:rPr>
          <w:rFonts w:hint="default" w:ascii="仿宋" w:hAnsi="仿宋" w:eastAsia="仿宋"/>
          <w:color w:val="auto"/>
          <w:sz w:val="24"/>
          <w:lang w:val="en-US" w:eastAsia="zh-CN"/>
        </w:rPr>
      </w:pPr>
      <w:r>
        <w:rPr>
          <w:rFonts w:ascii="仿宋" w:hAnsi="仿宋" w:eastAsia="仿宋"/>
          <w:color w:val="auto"/>
          <w:sz w:val="24"/>
        </w:rPr>
        <w:t>1.</w:t>
      </w:r>
      <w:r>
        <w:rPr>
          <w:rFonts w:hint="eastAsia" w:ascii="仿宋" w:hAnsi="仿宋" w:eastAsia="仿宋"/>
          <w:color w:val="auto"/>
          <w:sz w:val="24"/>
          <w:lang w:val="en-US" w:eastAsia="zh-CN"/>
        </w:rPr>
        <w:t>报名截止时间：</w:t>
      </w:r>
      <w:r>
        <w:rPr>
          <w:rFonts w:hint="eastAsia" w:ascii="仿宋" w:hAnsi="仿宋" w:eastAsia="仿宋" w:cs="宋体"/>
          <w:bCs/>
          <w:color w:val="auto"/>
          <w:kern w:val="0"/>
          <w:sz w:val="24"/>
        </w:rPr>
        <w:t>202</w:t>
      </w:r>
      <w:r>
        <w:rPr>
          <w:rFonts w:hint="eastAsia" w:ascii="仿宋" w:hAnsi="仿宋" w:eastAsia="仿宋" w:cs="宋体"/>
          <w:bCs/>
          <w:color w:val="auto"/>
          <w:kern w:val="0"/>
          <w:sz w:val="24"/>
          <w:lang w:val="en-US" w:eastAsia="zh-CN"/>
        </w:rPr>
        <w:t>5</w:t>
      </w:r>
      <w:r>
        <w:rPr>
          <w:rFonts w:hint="eastAsia" w:ascii="仿宋" w:hAnsi="仿宋" w:eastAsia="仿宋" w:cs="宋体"/>
          <w:bCs/>
          <w:color w:val="auto"/>
          <w:kern w:val="0"/>
          <w:sz w:val="24"/>
        </w:rPr>
        <w:t>年</w:t>
      </w:r>
      <w:r>
        <w:rPr>
          <w:rFonts w:hint="eastAsia" w:ascii="仿宋" w:hAnsi="仿宋" w:eastAsia="仿宋" w:cs="宋体"/>
          <w:bCs/>
          <w:color w:val="auto"/>
          <w:kern w:val="0"/>
          <w:sz w:val="24"/>
          <w:lang w:val="en-US" w:eastAsia="zh-CN"/>
        </w:rPr>
        <w:t>4</w:t>
      </w:r>
      <w:r>
        <w:rPr>
          <w:rFonts w:hint="eastAsia" w:ascii="仿宋" w:hAnsi="仿宋" w:eastAsia="仿宋" w:cs="宋体"/>
          <w:bCs/>
          <w:color w:val="auto"/>
          <w:kern w:val="0"/>
          <w:sz w:val="24"/>
        </w:rPr>
        <w:t>月</w:t>
      </w:r>
      <w:r>
        <w:rPr>
          <w:rFonts w:hint="eastAsia" w:ascii="仿宋" w:hAnsi="仿宋" w:eastAsia="仿宋" w:cs="宋体"/>
          <w:bCs/>
          <w:color w:val="auto"/>
          <w:kern w:val="0"/>
          <w:sz w:val="24"/>
          <w:lang w:val="en-US" w:eastAsia="zh-CN"/>
        </w:rPr>
        <w:t>17</w:t>
      </w:r>
      <w:r>
        <w:rPr>
          <w:rFonts w:hint="eastAsia" w:ascii="仿宋" w:hAnsi="仿宋" w:eastAsia="仿宋" w:cs="宋体"/>
          <w:bCs/>
          <w:color w:val="auto"/>
          <w:kern w:val="0"/>
          <w:sz w:val="24"/>
        </w:rPr>
        <w:t>日</w:t>
      </w:r>
      <w:r>
        <w:rPr>
          <w:rFonts w:hint="eastAsia" w:ascii="仿宋" w:hAnsi="仿宋" w:eastAsia="仿宋" w:cs="宋体"/>
          <w:bCs/>
          <w:color w:val="auto"/>
          <w:kern w:val="0"/>
          <w:sz w:val="24"/>
          <w:lang w:val="en-US" w:eastAsia="zh-CN"/>
        </w:rPr>
        <w:t>16</w:t>
      </w:r>
      <w:r>
        <w:rPr>
          <w:rFonts w:hint="eastAsia" w:ascii="仿宋" w:hAnsi="仿宋" w:eastAsia="仿宋" w:cs="宋体"/>
          <w:bCs/>
          <w:color w:val="auto"/>
          <w:kern w:val="0"/>
          <w:sz w:val="24"/>
        </w:rPr>
        <w:t>:</w:t>
      </w:r>
      <w:r>
        <w:rPr>
          <w:rFonts w:hint="eastAsia" w:ascii="仿宋" w:hAnsi="仿宋" w:eastAsia="仿宋" w:cs="宋体"/>
          <w:bCs/>
          <w:color w:val="auto"/>
          <w:kern w:val="0"/>
          <w:sz w:val="24"/>
          <w:lang w:val="en-US" w:eastAsia="zh-CN"/>
        </w:rPr>
        <w:t>0</w:t>
      </w:r>
      <w:r>
        <w:rPr>
          <w:rFonts w:hint="eastAsia" w:ascii="仿宋" w:hAnsi="仿宋" w:eastAsia="仿宋" w:cs="宋体"/>
          <w:bCs/>
          <w:color w:val="auto"/>
          <w:kern w:val="0"/>
          <w:sz w:val="24"/>
        </w:rPr>
        <w:t>0</w:t>
      </w:r>
      <w:r>
        <w:rPr>
          <w:rFonts w:hint="eastAsia" w:ascii="仿宋" w:hAnsi="仿宋" w:eastAsia="仿宋" w:cs="宋体"/>
          <w:bCs/>
          <w:color w:val="auto"/>
          <w:kern w:val="0"/>
          <w:sz w:val="24"/>
          <w:lang w:val="en-US" w:eastAsia="zh-CN"/>
        </w:rPr>
        <w:t>前</w:t>
      </w:r>
      <w:r>
        <w:rPr>
          <w:rFonts w:hint="eastAsia" w:ascii="仿宋" w:hAnsi="仿宋" w:eastAsia="仿宋" w:cs="宋体"/>
          <w:bCs/>
          <w:color w:val="auto"/>
          <w:kern w:val="0"/>
          <w:sz w:val="24"/>
        </w:rPr>
        <w:t>；</w:t>
      </w:r>
    </w:p>
    <w:p w14:paraId="5D193ABE">
      <w:pPr>
        <w:spacing w:line="340" w:lineRule="exact"/>
        <w:ind w:firstLine="480" w:firstLineChars="200"/>
        <w:jc w:val="left"/>
        <w:rPr>
          <w:rFonts w:ascii="仿宋" w:hAnsi="仿宋" w:eastAsia="仿宋"/>
          <w:b/>
          <w:color w:val="auto"/>
          <w:sz w:val="24"/>
          <w:u w:val="single"/>
        </w:rPr>
      </w:pPr>
      <w:r>
        <w:rPr>
          <w:rFonts w:hint="eastAsia" w:ascii="仿宋" w:hAnsi="仿宋" w:eastAsia="仿宋"/>
          <w:color w:val="auto"/>
          <w:sz w:val="24"/>
          <w:lang w:val="en-US" w:eastAsia="zh-CN"/>
        </w:rPr>
        <w:t>2.</w:t>
      </w:r>
      <w:r>
        <w:rPr>
          <w:rFonts w:hint="eastAsia" w:ascii="仿宋" w:hAnsi="仿宋" w:eastAsia="仿宋"/>
          <w:color w:val="auto"/>
          <w:sz w:val="24"/>
        </w:rPr>
        <w:t>开标时间：</w:t>
      </w:r>
      <w:r>
        <w:rPr>
          <w:rFonts w:hint="eastAsia" w:ascii="仿宋" w:hAnsi="仿宋" w:eastAsia="仿宋" w:cs="宋体"/>
          <w:bCs/>
          <w:color w:val="auto"/>
          <w:kern w:val="0"/>
          <w:sz w:val="24"/>
        </w:rPr>
        <w:t>202</w:t>
      </w:r>
      <w:r>
        <w:rPr>
          <w:rFonts w:hint="eastAsia" w:ascii="仿宋" w:hAnsi="仿宋" w:eastAsia="仿宋" w:cs="宋体"/>
          <w:bCs/>
          <w:color w:val="auto"/>
          <w:kern w:val="0"/>
          <w:sz w:val="24"/>
          <w:lang w:val="en-US" w:eastAsia="zh-CN"/>
        </w:rPr>
        <w:t>5</w:t>
      </w:r>
      <w:r>
        <w:rPr>
          <w:rFonts w:hint="eastAsia" w:ascii="仿宋" w:hAnsi="仿宋" w:eastAsia="仿宋" w:cs="宋体"/>
          <w:bCs/>
          <w:color w:val="auto"/>
          <w:kern w:val="0"/>
          <w:sz w:val="24"/>
        </w:rPr>
        <w:t>年</w:t>
      </w:r>
      <w:r>
        <w:rPr>
          <w:rFonts w:hint="eastAsia" w:ascii="仿宋" w:hAnsi="仿宋" w:eastAsia="仿宋" w:cs="宋体"/>
          <w:bCs/>
          <w:color w:val="auto"/>
          <w:kern w:val="0"/>
          <w:sz w:val="24"/>
          <w:lang w:val="en-US" w:eastAsia="zh-CN"/>
        </w:rPr>
        <w:t>4</w:t>
      </w:r>
      <w:r>
        <w:rPr>
          <w:rFonts w:hint="eastAsia" w:ascii="仿宋" w:hAnsi="仿宋" w:eastAsia="仿宋" w:cs="宋体"/>
          <w:bCs/>
          <w:color w:val="auto"/>
          <w:kern w:val="0"/>
          <w:sz w:val="24"/>
        </w:rPr>
        <w:t>月</w:t>
      </w:r>
      <w:r>
        <w:rPr>
          <w:rFonts w:hint="eastAsia" w:ascii="仿宋" w:hAnsi="仿宋" w:eastAsia="仿宋" w:cs="宋体"/>
          <w:bCs/>
          <w:color w:val="auto"/>
          <w:kern w:val="0"/>
          <w:sz w:val="24"/>
          <w:lang w:val="en-US" w:eastAsia="zh-CN"/>
        </w:rPr>
        <w:t>18</w:t>
      </w:r>
      <w:r>
        <w:rPr>
          <w:rFonts w:hint="eastAsia" w:ascii="仿宋" w:hAnsi="仿宋" w:eastAsia="仿宋" w:cs="宋体"/>
          <w:bCs/>
          <w:color w:val="auto"/>
          <w:kern w:val="0"/>
          <w:sz w:val="24"/>
        </w:rPr>
        <w:t>日</w:t>
      </w:r>
      <w:r>
        <w:rPr>
          <w:rFonts w:hint="eastAsia" w:ascii="仿宋" w:hAnsi="仿宋" w:eastAsia="仿宋" w:cs="宋体"/>
          <w:bCs/>
          <w:color w:val="auto"/>
          <w:kern w:val="0"/>
          <w:sz w:val="24"/>
          <w:lang w:val="en-US" w:eastAsia="zh-CN"/>
        </w:rPr>
        <w:t>10</w:t>
      </w:r>
      <w:r>
        <w:rPr>
          <w:rFonts w:hint="eastAsia" w:ascii="仿宋" w:hAnsi="仿宋" w:eastAsia="仿宋" w:cs="宋体"/>
          <w:bCs/>
          <w:color w:val="auto"/>
          <w:kern w:val="0"/>
          <w:sz w:val="24"/>
        </w:rPr>
        <w:t>:</w:t>
      </w:r>
      <w:r>
        <w:rPr>
          <w:rFonts w:hint="eastAsia" w:ascii="仿宋" w:hAnsi="仿宋" w:eastAsia="仿宋" w:cs="宋体"/>
          <w:bCs/>
          <w:color w:val="auto"/>
          <w:kern w:val="0"/>
          <w:sz w:val="24"/>
          <w:lang w:val="en-US" w:eastAsia="zh-CN"/>
        </w:rPr>
        <w:t>3</w:t>
      </w:r>
      <w:r>
        <w:rPr>
          <w:rFonts w:hint="eastAsia" w:ascii="仿宋" w:hAnsi="仿宋" w:eastAsia="仿宋" w:cs="宋体"/>
          <w:bCs/>
          <w:color w:val="auto"/>
          <w:kern w:val="0"/>
          <w:sz w:val="24"/>
        </w:rPr>
        <w:t>0；</w:t>
      </w:r>
    </w:p>
    <w:p w14:paraId="02A778BF">
      <w:pPr>
        <w:spacing w:line="340" w:lineRule="exact"/>
        <w:ind w:left="147" w:leftChars="70" w:firstLine="360" w:firstLineChars="150"/>
        <w:jc w:val="lef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  <w:lang w:val="en-US" w:eastAsia="zh-CN"/>
        </w:rPr>
        <w:t>3</w:t>
      </w:r>
      <w:r>
        <w:rPr>
          <w:rFonts w:ascii="仿宋" w:hAnsi="仿宋" w:eastAsia="仿宋"/>
          <w:color w:val="auto"/>
          <w:sz w:val="24"/>
        </w:rPr>
        <w:t>.</w:t>
      </w:r>
      <w:r>
        <w:rPr>
          <w:rFonts w:hint="eastAsia" w:ascii="仿宋" w:hAnsi="仿宋" w:eastAsia="仿宋"/>
          <w:color w:val="auto"/>
          <w:sz w:val="24"/>
        </w:rPr>
        <w:t>开标地点：湖州市二环东路</w:t>
      </w:r>
      <w:r>
        <w:rPr>
          <w:rFonts w:ascii="仿宋" w:hAnsi="仿宋" w:eastAsia="仿宋"/>
          <w:color w:val="auto"/>
          <w:sz w:val="24"/>
        </w:rPr>
        <w:t>759</w:t>
      </w:r>
      <w:r>
        <w:rPr>
          <w:rFonts w:hint="eastAsia" w:ascii="仿宋" w:hAnsi="仿宋" w:eastAsia="仿宋"/>
          <w:color w:val="auto"/>
          <w:sz w:val="24"/>
        </w:rPr>
        <w:t>号湖州师范学院东校区明达楼</w:t>
      </w:r>
      <w:r>
        <w:rPr>
          <w:rFonts w:ascii="仿宋" w:hAnsi="仿宋" w:eastAsia="仿宋"/>
          <w:color w:val="auto"/>
          <w:sz w:val="24"/>
        </w:rPr>
        <w:t>20</w:t>
      </w:r>
      <w:r>
        <w:rPr>
          <w:rFonts w:hint="eastAsia" w:ascii="仿宋" w:hAnsi="仿宋" w:eastAsia="仿宋"/>
          <w:color w:val="auto"/>
          <w:sz w:val="24"/>
        </w:rPr>
        <w:t>4室；</w:t>
      </w:r>
    </w:p>
    <w:p w14:paraId="14E3CBDF">
      <w:pPr>
        <w:spacing w:line="340" w:lineRule="exact"/>
        <w:ind w:firstLine="480" w:firstLineChars="200"/>
        <w:jc w:val="lef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  <w:lang w:val="en-US" w:eastAsia="zh-CN"/>
        </w:rPr>
        <w:t>4</w:t>
      </w:r>
      <w:r>
        <w:rPr>
          <w:rFonts w:ascii="仿宋" w:hAnsi="仿宋" w:eastAsia="仿宋"/>
          <w:color w:val="auto"/>
          <w:sz w:val="24"/>
        </w:rPr>
        <w:t>.</w:t>
      </w:r>
      <w:r>
        <w:rPr>
          <w:rFonts w:hint="eastAsia" w:ascii="仿宋" w:hAnsi="仿宋" w:eastAsia="仿宋"/>
          <w:color w:val="auto"/>
          <w:sz w:val="24"/>
        </w:rPr>
        <w:t>联系人：张老师；</w:t>
      </w:r>
    </w:p>
    <w:p w14:paraId="21CB83F0">
      <w:pPr>
        <w:spacing w:line="340" w:lineRule="exact"/>
        <w:ind w:firstLine="480" w:firstLineChars="200"/>
        <w:jc w:val="lef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  <w:lang w:val="en-US" w:eastAsia="zh-CN"/>
        </w:rPr>
        <w:t>5</w:t>
      </w:r>
      <w:r>
        <w:rPr>
          <w:rFonts w:ascii="仿宋" w:hAnsi="仿宋" w:eastAsia="仿宋"/>
          <w:color w:val="auto"/>
          <w:sz w:val="24"/>
        </w:rPr>
        <w:t>.</w:t>
      </w:r>
      <w:r>
        <w:rPr>
          <w:rFonts w:hint="eastAsia" w:ascii="仿宋" w:hAnsi="仿宋" w:eastAsia="仿宋"/>
          <w:color w:val="auto"/>
          <w:sz w:val="24"/>
        </w:rPr>
        <w:t>电话：</w:t>
      </w:r>
      <w:r>
        <w:rPr>
          <w:rFonts w:ascii="仿宋" w:hAnsi="仿宋" w:eastAsia="仿宋"/>
          <w:color w:val="auto"/>
          <w:sz w:val="24"/>
        </w:rPr>
        <w:t>0572-232</w:t>
      </w:r>
      <w:r>
        <w:rPr>
          <w:rFonts w:hint="eastAsia" w:ascii="仿宋" w:hAnsi="仿宋" w:eastAsia="仿宋"/>
          <w:color w:val="auto"/>
          <w:sz w:val="24"/>
        </w:rPr>
        <w:t>2188。</w:t>
      </w:r>
    </w:p>
    <w:p w14:paraId="4DAFCBF3">
      <w:pPr>
        <w:spacing w:line="340" w:lineRule="exact"/>
        <w:ind w:firstLine="472" w:firstLineChars="196"/>
        <w:jc w:val="left"/>
        <w:rPr>
          <w:rFonts w:ascii="仿宋" w:hAnsi="仿宋" w:eastAsia="仿宋"/>
          <w:b/>
          <w:bCs/>
          <w:color w:val="auto"/>
          <w:sz w:val="24"/>
        </w:rPr>
      </w:pPr>
      <w:r>
        <w:rPr>
          <w:rFonts w:hint="eastAsia" w:ascii="仿宋" w:hAnsi="仿宋" w:eastAsia="仿宋"/>
          <w:b/>
          <w:bCs/>
          <w:color w:val="auto"/>
          <w:sz w:val="24"/>
        </w:rPr>
        <w:t>四、中标办法</w:t>
      </w:r>
    </w:p>
    <w:p w14:paraId="3240D4CA">
      <w:pPr>
        <w:ind w:firstLine="480" w:firstLineChars="200"/>
        <w:jc w:val="lef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本项目根据投标报价、货物需求响应、服务承诺等确定拟中标单位。在货物需求响应、服务承诺等符合的条件下，报价最低的单位作为第一成交候选人，次低报价的单位作为第二成交候选人，以此类推。</w:t>
      </w:r>
    </w:p>
    <w:p w14:paraId="3482985D">
      <w:pPr>
        <w:ind w:firstLine="480" w:firstLineChars="200"/>
        <w:jc w:val="lef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替补候选人的设定与使用：第一成交候选人放弃成交或者因不可抗力提出不能履行合同，在投标人仍满足三家的情况下，采购人可以确定第二成交候选人为成交人，排名第二的成交候选人因前款同样的原因不能签订合同，采购人可以确定排名第三的成交候选人为成交人。如第一成交候选人放弃中标或者因不可抗力提出不能履行合同，采购人也可以重新询价。</w:t>
      </w:r>
    </w:p>
    <w:p w14:paraId="5F905DBC">
      <w:pPr>
        <w:spacing w:line="340" w:lineRule="exact"/>
        <w:ind w:firstLine="472" w:firstLineChars="196"/>
        <w:jc w:val="left"/>
        <w:rPr>
          <w:rFonts w:ascii="仿宋" w:hAnsi="仿宋" w:eastAsia="仿宋"/>
          <w:b/>
          <w:bCs/>
          <w:color w:val="auto"/>
          <w:sz w:val="24"/>
        </w:rPr>
      </w:pPr>
      <w:r>
        <w:rPr>
          <w:rFonts w:hint="eastAsia" w:ascii="仿宋" w:hAnsi="仿宋" w:eastAsia="仿宋"/>
          <w:b/>
          <w:bCs/>
          <w:color w:val="auto"/>
          <w:sz w:val="24"/>
          <w:lang w:val="en-US" w:eastAsia="zh-CN"/>
        </w:rPr>
        <w:t>五</w:t>
      </w:r>
      <w:r>
        <w:rPr>
          <w:rFonts w:hint="eastAsia" w:ascii="仿宋" w:hAnsi="仿宋" w:eastAsia="仿宋"/>
          <w:b/>
          <w:bCs/>
          <w:color w:val="auto"/>
          <w:sz w:val="24"/>
        </w:rPr>
        <w:t>、付款方式</w:t>
      </w:r>
    </w:p>
    <w:p w14:paraId="58F6B7A2">
      <w:pPr>
        <w:adjustRightInd w:val="0"/>
        <w:snapToGrid w:val="0"/>
        <w:spacing w:line="260" w:lineRule="exact"/>
        <w:ind w:firstLine="470" w:firstLineChars="196"/>
        <w:jc w:val="lef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中标人完成本项目并经采购人验收合格后，</w:t>
      </w:r>
      <w:r>
        <w:rPr>
          <w:rFonts w:hint="eastAsia" w:ascii="仿宋" w:hAnsi="仿宋" w:eastAsia="仿宋"/>
          <w:color w:val="auto"/>
          <w:sz w:val="24"/>
        </w:rPr>
        <w:t>中标人依法依规开具全额发票，采购人按合同金额原则上于14个工作日内（如遇特殊情况顺延）一次性全额支付款项。</w:t>
      </w:r>
    </w:p>
    <w:p w14:paraId="340856D0">
      <w:pPr>
        <w:spacing w:line="340" w:lineRule="exact"/>
        <w:ind w:firstLine="472" w:firstLineChars="196"/>
        <w:jc w:val="left"/>
        <w:rPr>
          <w:rFonts w:ascii="仿宋" w:hAnsi="仿宋" w:eastAsia="仿宋"/>
          <w:b/>
          <w:bCs/>
          <w:color w:val="auto"/>
          <w:sz w:val="24"/>
        </w:rPr>
      </w:pPr>
      <w:r>
        <w:rPr>
          <w:rFonts w:hint="eastAsia" w:ascii="仿宋" w:hAnsi="仿宋" w:eastAsia="仿宋"/>
          <w:b/>
          <w:bCs/>
          <w:color w:val="auto"/>
          <w:sz w:val="24"/>
          <w:lang w:val="en-US" w:eastAsia="zh-CN"/>
        </w:rPr>
        <w:t>六</w:t>
      </w:r>
      <w:r>
        <w:rPr>
          <w:rFonts w:hint="eastAsia" w:ascii="仿宋" w:hAnsi="仿宋" w:eastAsia="仿宋"/>
          <w:b/>
          <w:bCs/>
          <w:color w:val="auto"/>
          <w:sz w:val="24"/>
        </w:rPr>
        <w:t>、交货时间及地点</w:t>
      </w:r>
    </w:p>
    <w:p w14:paraId="48B78491">
      <w:pPr>
        <w:spacing w:line="340" w:lineRule="exact"/>
        <w:ind w:firstLine="480" w:firstLineChars="200"/>
        <w:jc w:val="lef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1.交货时间：</w:t>
      </w:r>
      <w:r>
        <w:rPr>
          <w:rFonts w:hint="eastAsia" w:ascii="仿宋" w:hAnsi="仿宋" w:eastAsia="仿宋"/>
          <w:bCs/>
          <w:color w:val="auto"/>
          <w:sz w:val="24"/>
        </w:rPr>
        <w:t>合同签订后</w:t>
      </w:r>
      <w:r>
        <w:rPr>
          <w:rFonts w:hint="eastAsia" w:ascii="仿宋" w:hAnsi="仿宋" w:eastAsia="仿宋"/>
          <w:bCs/>
          <w:color w:val="auto"/>
          <w:sz w:val="24"/>
          <w:lang w:val="en-US" w:eastAsia="zh-CN"/>
        </w:rPr>
        <w:t>20天</w:t>
      </w:r>
      <w:r>
        <w:rPr>
          <w:rFonts w:hint="eastAsia" w:ascii="仿宋" w:hAnsi="仿宋" w:eastAsia="仿宋"/>
          <w:bCs/>
          <w:color w:val="auto"/>
          <w:sz w:val="24"/>
        </w:rPr>
        <w:t>内供货并完成安装调试，供货时提供所有产品的说明书、合格证、保修凭证</w:t>
      </w:r>
      <w:r>
        <w:rPr>
          <w:rFonts w:hint="eastAsia" w:ascii="仿宋" w:hAnsi="仿宋" w:eastAsia="仿宋"/>
          <w:bCs/>
          <w:color w:val="auto"/>
          <w:sz w:val="24"/>
          <w:lang w:val="en-US" w:eastAsia="zh-CN"/>
        </w:rPr>
        <w:t>等</w:t>
      </w:r>
      <w:r>
        <w:rPr>
          <w:rFonts w:hint="eastAsia" w:ascii="仿宋" w:hAnsi="仿宋" w:eastAsia="仿宋"/>
          <w:color w:val="auto"/>
          <w:sz w:val="24"/>
        </w:rPr>
        <w:t>。</w:t>
      </w:r>
    </w:p>
    <w:p w14:paraId="431C3FBE">
      <w:pPr>
        <w:spacing w:line="340" w:lineRule="exact"/>
        <w:ind w:firstLine="480" w:firstLineChars="200"/>
        <w:jc w:val="lef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2.</w:t>
      </w:r>
      <w:r>
        <w:rPr>
          <w:rFonts w:hint="eastAsia" w:ascii="仿宋" w:hAnsi="仿宋" w:eastAsia="仿宋"/>
          <w:color w:val="auto"/>
          <w:sz w:val="24"/>
          <w:lang w:val="en-US" w:eastAsia="zh-CN"/>
        </w:rPr>
        <w:t>.</w:t>
      </w:r>
      <w:r>
        <w:rPr>
          <w:rFonts w:hint="eastAsia" w:ascii="仿宋" w:hAnsi="仿宋" w:eastAsia="仿宋"/>
          <w:color w:val="auto"/>
          <w:sz w:val="24"/>
        </w:rPr>
        <w:t>交货地点：湖州师范学院指定地点。</w:t>
      </w:r>
    </w:p>
    <w:p w14:paraId="5D50CDB5">
      <w:pPr>
        <w:spacing w:line="340" w:lineRule="exact"/>
        <w:ind w:firstLine="472" w:firstLineChars="196"/>
        <w:jc w:val="lef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b/>
          <w:bCs/>
          <w:color w:val="auto"/>
          <w:sz w:val="24"/>
          <w:lang w:val="en-US" w:eastAsia="zh-CN"/>
        </w:rPr>
        <w:t>七</w:t>
      </w:r>
      <w:r>
        <w:rPr>
          <w:rFonts w:hint="eastAsia" w:ascii="仿宋" w:hAnsi="仿宋" w:eastAsia="仿宋"/>
          <w:b/>
          <w:bCs/>
          <w:color w:val="auto"/>
          <w:sz w:val="24"/>
        </w:rPr>
        <w:t>、售后服务</w:t>
      </w:r>
    </w:p>
    <w:p w14:paraId="7C9282FD">
      <w:pPr>
        <w:ind w:firstLine="480" w:firstLineChars="200"/>
        <w:jc w:val="left"/>
        <w:rPr>
          <w:rFonts w:hint="default" w:ascii="仿宋" w:hAnsi="仿宋" w:eastAsia="仿宋"/>
          <w:color w:val="auto"/>
          <w:sz w:val="24"/>
          <w:highlight w:val="none"/>
          <w:lang w:val="en-US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自验收合格之日起，质保期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24"/>
          <w:highlight w:val="none"/>
        </w:rPr>
        <w:t>年；质保期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内</w:t>
      </w:r>
      <w:r>
        <w:rPr>
          <w:rFonts w:hint="eastAsia" w:ascii="仿宋" w:hAnsi="仿宋" w:eastAsia="仿宋"/>
          <w:color w:val="auto"/>
          <w:sz w:val="24"/>
          <w:highlight w:val="none"/>
        </w:rPr>
        <w:t>出现故障，中标人应在接到故障报修请求后，于30分钟内响应，2小时内提出解决方案，24小时内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到达现场进行维修</w:t>
      </w:r>
      <w:r>
        <w:rPr>
          <w:rFonts w:hint="eastAsia" w:ascii="仿宋" w:hAnsi="仿宋" w:eastAsia="仿宋"/>
          <w:color w:val="auto"/>
          <w:sz w:val="24"/>
          <w:highlight w:val="none"/>
        </w:rPr>
        <w:t>，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48不能完成修复的，必须采取提供备品、备件或备机等措施以保证采购人正常使用</w:t>
      </w:r>
      <w:r>
        <w:rPr>
          <w:rFonts w:hint="eastAsia" w:ascii="仿宋" w:hAnsi="仿宋" w:eastAsia="仿宋"/>
          <w:color w:val="auto"/>
          <w:sz w:val="24"/>
          <w:highlight w:val="none"/>
        </w:rPr>
        <w:t>。质保期后，中标人继续提供维保服务，仅收取零配件成本费。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中标人应对采购人的维修人员提供培训，使其能对设备进行日常的维护保养及能对一般故障进行维修。中标人应对采购人的操作人员提供操作培训，并使其能熟练操作。提供软件终身免费升级服务。</w:t>
      </w:r>
    </w:p>
    <w:p w14:paraId="74E079D0">
      <w:pPr>
        <w:numPr>
          <w:ilvl w:val="0"/>
          <w:numId w:val="1"/>
        </w:numPr>
        <w:spacing w:line="340" w:lineRule="exact"/>
        <w:ind w:firstLine="472" w:firstLineChars="196"/>
        <w:jc w:val="left"/>
        <w:rPr>
          <w:rFonts w:hint="eastAsia" w:ascii="仿宋" w:hAnsi="仿宋" w:eastAsia="仿宋"/>
          <w:b/>
          <w:bCs/>
          <w:color w:val="auto"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24"/>
          <w:lang w:val="en-US" w:eastAsia="zh-CN"/>
        </w:rPr>
        <w:t>知识产权保护</w:t>
      </w:r>
    </w:p>
    <w:p w14:paraId="6E054A34">
      <w:pPr>
        <w:numPr>
          <w:ilvl w:val="0"/>
          <w:numId w:val="0"/>
        </w:numPr>
        <w:spacing w:line="340" w:lineRule="exact"/>
        <w:jc w:val="left"/>
        <w:rPr>
          <w:rFonts w:hint="default" w:ascii="仿宋" w:hAnsi="仿宋" w:eastAsia="仿宋"/>
          <w:b/>
          <w:bCs/>
          <w:color w:val="auto"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24"/>
          <w:lang w:val="en-US" w:eastAsia="zh-CN"/>
        </w:rPr>
        <w:t xml:space="preserve">    </w:t>
      </w:r>
      <w:r>
        <w:rPr>
          <w:rFonts w:hint="eastAsia" w:ascii="仿宋" w:hAnsi="仿宋" w:eastAsia="仿宋"/>
          <w:b w:val="0"/>
          <w:bCs w:val="0"/>
          <w:color w:val="auto"/>
          <w:sz w:val="24"/>
          <w:lang w:val="en-US" w:eastAsia="zh-CN"/>
        </w:rPr>
        <w:t>乙方对其所销售的货物应当享有知识产权或经权利人合法授权，保证没有侵犯任何第三人的知识产权等权利。</w:t>
      </w:r>
      <w:bookmarkStart w:id="0" w:name="_Hlk163047038"/>
      <w:r>
        <w:rPr>
          <w:rFonts w:hint="eastAsia" w:ascii="仿宋" w:hAnsi="仿宋" w:eastAsia="仿宋"/>
          <w:b w:val="0"/>
          <w:bCs w:val="0"/>
          <w:color w:val="auto"/>
          <w:sz w:val="24"/>
          <w:lang w:val="en-US" w:eastAsia="zh-CN"/>
        </w:rPr>
        <w:t>因违反前述约定对第三人构成侵权的，应当由乙方向第三人承担法律责任</w:t>
      </w:r>
      <w:bookmarkEnd w:id="0"/>
      <w:r>
        <w:rPr>
          <w:rFonts w:hint="eastAsia" w:ascii="仿宋" w:hAnsi="仿宋" w:eastAsia="仿宋"/>
          <w:b w:val="0"/>
          <w:bCs w:val="0"/>
          <w:color w:val="auto"/>
          <w:sz w:val="24"/>
          <w:lang w:val="en-US" w:eastAsia="zh-CN"/>
        </w:rPr>
        <w:t>和费用，赔偿对甲方造成的损失。</w:t>
      </w:r>
    </w:p>
    <w:p w14:paraId="61007B15">
      <w:pPr>
        <w:spacing w:line="340" w:lineRule="exact"/>
        <w:ind w:firstLine="472" w:firstLineChars="196"/>
        <w:jc w:val="left"/>
        <w:rPr>
          <w:rFonts w:ascii="仿宋" w:hAnsi="仿宋" w:eastAsia="仿宋"/>
          <w:b/>
          <w:bCs/>
          <w:color w:val="auto"/>
          <w:sz w:val="24"/>
        </w:rPr>
      </w:pPr>
      <w:r>
        <w:rPr>
          <w:rFonts w:hint="eastAsia" w:ascii="仿宋" w:hAnsi="仿宋" w:eastAsia="仿宋"/>
          <w:b/>
          <w:bCs/>
          <w:color w:val="auto"/>
          <w:sz w:val="24"/>
          <w:lang w:val="en-US" w:eastAsia="zh-CN"/>
        </w:rPr>
        <w:t>九、</w:t>
      </w:r>
      <w:r>
        <w:rPr>
          <w:rFonts w:hint="eastAsia" w:ascii="仿宋" w:hAnsi="仿宋" w:eastAsia="仿宋"/>
          <w:b/>
          <w:bCs/>
          <w:color w:val="auto"/>
          <w:sz w:val="24"/>
        </w:rPr>
        <w:t>产品质量保证</w:t>
      </w:r>
    </w:p>
    <w:p w14:paraId="31C4F711">
      <w:pPr>
        <w:spacing w:line="340" w:lineRule="exact"/>
        <w:ind w:firstLine="480" w:firstLineChars="200"/>
        <w:rPr>
          <w:rFonts w:ascii="仿宋" w:hAnsi="仿宋" w:eastAsia="仿宋"/>
          <w:color w:val="auto"/>
          <w:sz w:val="24"/>
        </w:rPr>
      </w:pPr>
      <w:r>
        <w:rPr>
          <w:rFonts w:ascii="仿宋" w:hAnsi="仿宋" w:eastAsia="仿宋"/>
          <w:color w:val="auto"/>
          <w:sz w:val="24"/>
        </w:rPr>
        <w:t>1.</w:t>
      </w:r>
      <w:r>
        <w:rPr>
          <w:rFonts w:hint="eastAsia" w:ascii="仿宋" w:hAnsi="仿宋" w:eastAsia="仿宋"/>
          <w:color w:val="auto"/>
          <w:sz w:val="24"/>
        </w:rPr>
        <w:t>投标人提供的产品必须为原厂生产的合格产品，符合相关国家标准。如采购人验收或使用时发现中标人提供的为假冒伪劣产品，采购人将依据《中华人民共和国消费者权益保护法》和《浙江省实施〈中华人民共和国消费者权益保护法〉办法》有关规定对中标人进行索赔。</w:t>
      </w:r>
    </w:p>
    <w:p w14:paraId="3EF7E760">
      <w:pPr>
        <w:spacing w:line="340" w:lineRule="exact"/>
        <w:ind w:firstLine="480" w:firstLineChars="200"/>
        <w:rPr>
          <w:rFonts w:ascii="仿宋" w:hAnsi="仿宋" w:eastAsia="仿宋"/>
          <w:color w:val="auto"/>
          <w:sz w:val="24"/>
        </w:rPr>
      </w:pPr>
      <w:r>
        <w:rPr>
          <w:rFonts w:ascii="仿宋" w:hAnsi="仿宋" w:eastAsia="仿宋"/>
          <w:color w:val="auto"/>
          <w:sz w:val="24"/>
        </w:rPr>
        <w:t>2.</w:t>
      </w:r>
      <w:r>
        <w:rPr>
          <w:rFonts w:hint="eastAsia" w:ascii="仿宋" w:hAnsi="仿宋" w:eastAsia="仿宋"/>
          <w:color w:val="auto"/>
          <w:sz w:val="24"/>
        </w:rPr>
        <w:t>中标人供应的产品如不符合招标文件和合同要求，采购人有权无条件退货，责任全部由中标人承担。</w:t>
      </w:r>
    </w:p>
    <w:p w14:paraId="609E08E5">
      <w:pPr>
        <w:spacing w:line="340" w:lineRule="exact"/>
        <w:ind w:firstLine="482" w:firstLineChars="200"/>
        <w:jc w:val="left"/>
        <w:rPr>
          <w:rFonts w:ascii="仿宋" w:hAnsi="仿宋" w:eastAsia="仿宋"/>
          <w:b/>
          <w:color w:val="auto"/>
          <w:sz w:val="24"/>
        </w:rPr>
      </w:pPr>
    </w:p>
    <w:p w14:paraId="515CF974">
      <w:pPr>
        <w:spacing w:line="340" w:lineRule="exact"/>
        <w:ind w:firstLine="482" w:firstLineChars="200"/>
        <w:jc w:val="left"/>
        <w:rPr>
          <w:rFonts w:ascii="仿宋" w:hAnsi="仿宋" w:eastAsia="仿宋"/>
          <w:b/>
          <w:color w:val="auto"/>
          <w:sz w:val="24"/>
        </w:rPr>
      </w:pPr>
      <w:r>
        <w:rPr>
          <w:rFonts w:hint="eastAsia" w:ascii="仿宋" w:hAnsi="仿宋" w:eastAsia="仿宋"/>
          <w:b/>
          <w:color w:val="auto"/>
          <w:sz w:val="24"/>
        </w:rPr>
        <w:t>附件1</w:t>
      </w:r>
      <w:r>
        <w:rPr>
          <w:rFonts w:ascii="仿宋" w:hAnsi="仿宋" w:eastAsia="仿宋"/>
          <w:b/>
          <w:color w:val="auto"/>
          <w:sz w:val="24"/>
        </w:rPr>
        <w:t>.</w:t>
      </w:r>
      <w:r>
        <w:rPr>
          <w:rFonts w:hint="eastAsia" w:ascii="仿宋" w:hAnsi="仿宋" w:eastAsia="仿宋"/>
          <w:b/>
          <w:color w:val="auto"/>
          <w:sz w:val="24"/>
        </w:rPr>
        <w:t>投标报价清单</w:t>
      </w:r>
    </w:p>
    <w:p w14:paraId="0CA243A0">
      <w:pPr>
        <w:pStyle w:val="6"/>
        <w:ind w:firstLine="482" w:firstLineChars="200"/>
        <w:rPr>
          <w:rFonts w:eastAsia="仿宋"/>
          <w:color w:val="auto"/>
        </w:rPr>
      </w:pPr>
      <w:r>
        <w:rPr>
          <w:rFonts w:hint="eastAsia" w:ascii="仿宋" w:hAnsi="仿宋" w:eastAsia="仿宋"/>
          <w:b/>
          <w:color w:val="auto"/>
          <w:sz w:val="24"/>
        </w:rPr>
        <w:t>附件2</w:t>
      </w:r>
      <w:r>
        <w:rPr>
          <w:rFonts w:ascii="仿宋" w:hAnsi="仿宋" w:eastAsia="仿宋"/>
          <w:b/>
          <w:color w:val="auto"/>
          <w:sz w:val="24"/>
        </w:rPr>
        <w:t>.</w:t>
      </w:r>
      <w:r>
        <w:rPr>
          <w:rFonts w:hint="eastAsia" w:ascii="仿宋" w:hAnsi="仿宋" w:eastAsia="仿宋"/>
          <w:b/>
          <w:color w:val="auto"/>
          <w:sz w:val="24"/>
        </w:rPr>
        <w:t>技术参数响应表</w:t>
      </w:r>
      <w:bookmarkStart w:id="1" w:name="_GoBack"/>
      <w:bookmarkEnd w:id="1"/>
    </w:p>
    <w:p w14:paraId="084DE8F5">
      <w:pPr>
        <w:spacing w:before="100" w:line="340" w:lineRule="exact"/>
        <w:ind w:firstLine="4819" w:firstLineChars="2000"/>
        <w:jc w:val="right"/>
        <w:rPr>
          <w:rFonts w:ascii="仿宋" w:hAnsi="仿宋" w:eastAsia="仿宋"/>
          <w:b/>
          <w:color w:val="auto"/>
          <w:sz w:val="24"/>
        </w:rPr>
      </w:pPr>
    </w:p>
    <w:p w14:paraId="148364D2">
      <w:pPr>
        <w:spacing w:before="100" w:line="340" w:lineRule="exact"/>
        <w:ind w:firstLine="4819" w:firstLineChars="2000"/>
        <w:jc w:val="right"/>
        <w:rPr>
          <w:rFonts w:ascii="仿宋" w:hAnsi="仿宋" w:eastAsia="仿宋"/>
          <w:b/>
          <w:color w:val="auto"/>
          <w:sz w:val="24"/>
        </w:rPr>
      </w:pPr>
      <w:r>
        <w:rPr>
          <w:rFonts w:hint="eastAsia" w:ascii="仿宋" w:hAnsi="仿宋" w:eastAsia="仿宋"/>
          <w:b/>
          <w:color w:val="auto"/>
          <w:sz w:val="24"/>
        </w:rPr>
        <w:t>湖州师范学院采购中心</w:t>
      </w:r>
    </w:p>
    <w:p w14:paraId="09615A63">
      <w:pPr>
        <w:spacing w:before="100" w:line="340" w:lineRule="exact"/>
        <w:ind w:firstLine="5440" w:firstLineChars="2258"/>
        <w:jc w:val="right"/>
        <w:rPr>
          <w:rFonts w:hint="eastAsia" w:ascii="仿宋" w:hAnsi="仿宋" w:eastAsia="仿宋"/>
          <w:b/>
          <w:color w:val="auto"/>
          <w:sz w:val="24"/>
        </w:rPr>
      </w:pPr>
      <w:r>
        <w:rPr>
          <w:rFonts w:hint="eastAsia" w:ascii="仿宋" w:hAnsi="仿宋" w:eastAsia="仿宋"/>
          <w:b/>
          <w:color w:val="auto"/>
          <w:sz w:val="24"/>
        </w:rPr>
        <w:t>202</w:t>
      </w:r>
      <w:r>
        <w:rPr>
          <w:rFonts w:hint="eastAsia" w:ascii="仿宋" w:hAnsi="仿宋" w:eastAsia="仿宋"/>
          <w:b/>
          <w:color w:val="auto"/>
          <w:sz w:val="24"/>
          <w:lang w:val="en-US" w:eastAsia="zh-CN"/>
        </w:rPr>
        <w:t>5</w:t>
      </w:r>
      <w:r>
        <w:rPr>
          <w:rFonts w:hint="eastAsia" w:ascii="仿宋" w:hAnsi="仿宋" w:eastAsia="仿宋"/>
          <w:b/>
          <w:color w:val="auto"/>
          <w:sz w:val="24"/>
        </w:rPr>
        <w:t>年</w:t>
      </w:r>
      <w:r>
        <w:rPr>
          <w:rFonts w:hint="eastAsia" w:ascii="仿宋" w:hAnsi="仿宋" w:eastAsia="仿宋"/>
          <w:b/>
          <w:color w:val="auto"/>
          <w:sz w:val="24"/>
          <w:lang w:val="en-US" w:eastAsia="zh-CN"/>
        </w:rPr>
        <w:t>4</w:t>
      </w:r>
      <w:r>
        <w:rPr>
          <w:rFonts w:hint="eastAsia" w:ascii="仿宋" w:hAnsi="仿宋" w:eastAsia="仿宋"/>
          <w:b/>
          <w:color w:val="auto"/>
          <w:sz w:val="24"/>
        </w:rPr>
        <w:t>月</w:t>
      </w:r>
      <w:r>
        <w:rPr>
          <w:rFonts w:hint="eastAsia" w:ascii="仿宋" w:hAnsi="仿宋" w:eastAsia="仿宋"/>
          <w:b/>
          <w:color w:val="auto"/>
          <w:sz w:val="24"/>
          <w:lang w:val="en-US" w:eastAsia="zh-CN"/>
        </w:rPr>
        <w:t>11</w:t>
      </w:r>
      <w:r>
        <w:rPr>
          <w:rFonts w:hint="eastAsia" w:ascii="仿宋" w:hAnsi="仿宋" w:eastAsia="仿宋"/>
          <w:b/>
          <w:color w:val="auto"/>
          <w:sz w:val="24"/>
        </w:rPr>
        <w:t>日</w:t>
      </w:r>
    </w:p>
    <w:p w14:paraId="5F13FD44">
      <w:pPr>
        <w:rPr>
          <w:rFonts w:hint="eastAsia" w:ascii="仿宋" w:hAnsi="仿宋" w:eastAsia="仿宋"/>
          <w:b/>
          <w:color w:val="auto"/>
          <w:sz w:val="24"/>
        </w:rPr>
      </w:pPr>
      <w:r>
        <w:rPr>
          <w:rFonts w:hint="eastAsia" w:ascii="仿宋" w:hAnsi="仿宋" w:eastAsia="仿宋"/>
          <w:b/>
          <w:color w:val="auto"/>
          <w:sz w:val="24"/>
        </w:rPr>
        <w:br w:type="page"/>
      </w:r>
    </w:p>
    <w:p w14:paraId="19D36938">
      <w:pPr>
        <w:widowControl/>
        <w:jc w:val="left"/>
        <w:rPr>
          <w:rFonts w:ascii="仿宋" w:hAnsi="仿宋" w:eastAsia="仿宋"/>
          <w:b/>
          <w:color w:val="auto"/>
          <w:sz w:val="24"/>
        </w:rPr>
      </w:pPr>
      <w:r>
        <w:rPr>
          <w:rFonts w:hint="eastAsia" w:ascii="仿宋" w:hAnsi="仿宋" w:eastAsia="仿宋"/>
          <w:b/>
          <w:color w:val="auto"/>
          <w:sz w:val="24"/>
        </w:rPr>
        <w:t>附件1</w:t>
      </w:r>
    </w:p>
    <w:p w14:paraId="023189C4">
      <w:pPr>
        <w:spacing w:before="100" w:line="340" w:lineRule="exact"/>
        <w:ind w:firstLine="723" w:firstLineChars="200"/>
        <w:jc w:val="center"/>
        <w:rPr>
          <w:rFonts w:ascii="仿宋" w:hAnsi="仿宋" w:eastAsia="仿宋"/>
          <w:b/>
          <w:color w:val="auto"/>
          <w:sz w:val="36"/>
          <w:szCs w:val="36"/>
        </w:rPr>
      </w:pPr>
      <w:r>
        <w:rPr>
          <w:rFonts w:hint="eastAsia" w:ascii="仿宋" w:hAnsi="仿宋" w:eastAsia="仿宋"/>
          <w:b/>
          <w:color w:val="auto"/>
          <w:sz w:val="36"/>
          <w:szCs w:val="36"/>
        </w:rPr>
        <w:t>投标报价清单</w:t>
      </w:r>
    </w:p>
    <w:p w14:paraId="2023726A">
      <w:pPr>
        <w:spacing w:before="100" w:line="340" w:lineRule="exact"/>
        <w:ind w:firstLine="723" w:firstLineChars="200"/>
        <w:jc w:val="center"/>
        <w:rPr>
          <w:rFonts w:ascii="仿宋" w:hAnsi="仿宋" w:eastAsia="仿宋"/>
          <w:b/>
          <w:color w:val="auto"/>
          <w:sz w:val="36"/>
          <w:szCs w:val="36"/>
        </w:rPr>
      </w:pPr>
    </w:p>
    <w:p w14:paraId="023D3AB6">
      <w:pPr>
        <w:spacing w:line="340" w:lineRule="exact"/>
        <w:jc w:val="left"/>
        <w:rPr>
          <w:rFonts w:ascii="仿宋" w:hAnsi="仿宋" w:eastAsia="仿宋" w:cs="宋体"/>
          <w:color w:val="auto"/>
          <w:kern w:val="0"/>
          <w:sz w:val="24"/>
        </w:rPr>
      </w:pPr>
      <w:r>
        <w:rPr>
          <w:rFonts w:hint="eastAsia" w:ascii="仿宋" w:hAnsi="仿宋" w:eastAsia="仿宋"/>
          <w:b/>
          <w:color w:val="auto"/>
          <w:sz w:val="24"/>
        </w:rPr>
        <w:t>项目名称：</w:t>
      </w:r>
      <w:r>
        <w:rPr>
          <w:rFonts w:hint="eastAsia" w:ascii="仿宋" w:hAnsi="仿宋" w:eastAsia="仿宋" w:cs="宋体"/>
          <w:color w:val="auto"/>
          <w:kern w:val="0"/>
          <w:sz w:val="24"/>
          <w:lang w:eastAsia="zh-CN"/>
        </w:rPr>
        <w:t>湖州师范学院工学院四通道电化学工作站采购项目</w:t>
      </w:r>
    </w:p>
    <w:p w14:paraId="538B0299">
      <w:pPr>
        <w:spacing w:line="340" w:lineRule="exact"/>
        <w:jc w:val="left"/>
        <w:rPr>
          <w:rFonts w:hint="eastAsia" w:ascii="仿宋" w:hAnsi="仿宋" w:eastAsia="仿宋"/>
          <w:color w:val="auto"/>
          <w:sz w:val="24"/>
          <w:lang w:eastAsia="zh-CN"/>
        </w:rPr>
      </w:pPr>
      <w:r>
        <w:rPr>
          <w:rFonts w:hint="eastAsia" w:ascii="仿宋" w:hAnsi="仿宋" w:eastAsia="仿宋"/>
          <w:b/>
          <w:color w:val="auto"/>
          <w:sz w:val="24"/>
        </w:rPr>
        <w:t>项目编号：</w:t>
      </w:r>
      <w:r>
        <w:rPr>
          <w:rFonts w:hint="eastAsia" w:ascii="仿宋" w:hAnsi="仿宋" w:eastAsia="仿宋"/>
          <w:color w:val="auto"/>
          <w:sz w:val="24"/>
          <w:lang w:eastAsia="zh-CN"/>
        </w:rPr>
        <w:t>XZ2025-010</w:t>
      </w:r>
    </w:p>
    <w:tbl>
      <w:tblPr>
        <w:tblStyle w:val="12"/>
        <w:tblW w:w="92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484"/>
        <w:gridCol w:w="1927"/>
        <w:gridCol w:w="1424"/>
        <w:gridCol w:w="727"/>
        <w:gridCol w:w="768"/>
        <w:gridCol w:w="1090"/>
        <w:gridCol w:w="1078"/>
      </w:tblGrid>
      <w:tr w14:paraId="060F9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789" w:type="dxa"/>
            <w:noWrap/>
            <w:vAlign w:val="center"/>
          </w:tcPr>
          <w:p w14:paraId="2FDEAFFC">
            <w:pPr>
              <w:pStyle w:val="11"/>
              <w:widowControl/>
              <w:spacing w:before="0" w:beforeAutospacing="0" w:after="0" w:afterAutospacing="0" w:line="0" w:lineRule="atLeas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484" w:type="dxa"/>
            <w:noWrap/>
            <w:vAlign w:val="center"/>
          </w:tcPr>
          <w:p w14:paraId="6B432944">
            <w:pPr>
              <w:pStyle w:val="11"/>
              <w:widowControl/>
              <w:spacing w:before="0" w:beforeAutospacing="0" w:after="0" w:afterAutospacing="0" w:line="0" w:lineRule="atLeas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1927" w:type="dxa"/>
            <w:noWrap/>
            <w:vAlign w:val="center"/>
          </w:tcPr>
          <w:p w14:paraId="33451A72">
            <w:pPr>
              <w:pStyle w:val="11"/>
              <w:widowControl/>
              <w:spacing w:before="0" w:beforeAutospacing="0" w:after="0" w:afterAutospacing="0" w:line="0" w:lineRule="atLeas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投标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品牌型号</w:t>
            </w:r>
          </w:p>
        </w:tc>
        <w:tc>
          <w:tcPr>
            <w:tcW w:w="1424" w:type="dxa"/>
            <w:noWrap/>
            <w:vAlign w:val="center"/>
          </w:tcPr>
          <w:p w14:paraId="3A1CDE85">
            <w:pPr>
              <w:pStyle w:val="11"/>
              <w:widowControl/>
              <w:spacing w:before="0" w:beforeAutospacing="0" w:after="0" w:afterAutospacing="0" w:line="0" w:lineRule="atLeast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投标配置</w:t>
            </w:r>
          </w:p>
        </w:tc>
        <w:tc>
          <w:tcPr>
            <w:tcW w:w="727" w:type="dxa"/>
            <w:noWrap/>
            <w:vAlign w:val="center"/>
          </w:tcPr>
          <w:p w14:paraId="6ABA423C">
            <w:pPr>
              <w:pStyle w:val="11"/>
              <w:widowControl/>
              <w:spacing w:before="0" w:beforeAutospacing="0" w:after="0" w:afterAutospacing="0" w:line="0" w:lineRule="atLeas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768" w:type="dxa"/>
            <w:noWrap/>
            <w:vAlign w:val="center"/>
          </w:tcPr>
          <w:p w14:paraId="1C56CBA7">
            <w:pPr>
              <w:pStyle w:val="11"/>
              <w:widowControl/>
              <w:spacing w:before="0" w:beforeAutospacing="0" w:after="0" w:afterAutospacing="0" w:line="0" w:lineRule="atLeas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090" w:type="dxa"/>
            <w:noWrap/>
            <w:vAlign w:val="center"/>
          </w:tcPr>
          <w:p w14:paraId="5A97D53E">
            <w:pPr>
              <w:pStyle w:val="11"/>
              <w:widowControl/>
              <w:spacing w:before="0" w:beforeAutospacing="0" w:after="0" w:afterAutospacing="0" w:line="0" w:lineRule="atLeas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投标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单价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（元）</w:t>
            </w:r>
          </w:p>
        </w:tc>
        <w:tc>
          <w:tcPr>
            <w:tcW w:w="1078" w:type="dxa"/>
            <w:noWrap/>
            <w:vAlign w:val="center"/>
          </w:tcPr>
          <w:p w14:paraId="39942BFB">
            <w:pPr>
              <w:pStyle w:val="11"/>
              <w:widowControl/>
              <w:spacing w:before="0" w:beforeAutospacing="0" w:after="0" w:afterAutospacing="0" w:line="0" w:lineRule="atLeas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投标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总价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（元）</w:t>
            </w:r>
          </w:p>
        </w:tc>
      </w:tr>
      <w:tr w14:paraId="6A006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789" w:type="dxa"/>
            <w:noWrap/>
            <w:vAlign w:val="center"/>
          </w:tcPr>
          <w:p w14:paraId="7AF1E54A"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484" w:type="dxa"/>
            <w:noWrap/>
            <w:vAlign w:val="center"/>
          </w:tcPr>
          <w:p w14:paraId="71575FDB">
            <w:pPr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四通道电化学工作站</w:t>
            </w:r>
          </w:p>
        </w:tc>
        <w:tc>
          <w:tcPr>
            <w:tcW w:w="1927" w:type="dxa"/>
            <w:noWrap/>
            <w:vAlign w:val="center"/>
          </w:tcPr>
          <w:p w14:paraId="28F69234">
            <w:pPr>
              <w:spacing w:line="44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center"/>
          </w:tcPr>
          <w:p w14:paraId="3A9450CA">
            <w:pPr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27" w:type="dxa"/>
            <w:noWrap/>
            <w:vAlign w:val="center"/>
          </w:tcPr>
          <w:p w14:paraId="74CD7990"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768" w:type="dxa"/>
            <w:noWrap/>
            <w:vAlign w:val="center"/>
          </w:tcPr>
          <w:p w14:paraId="62335F60"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90" w:type="dxa"/>
            <w:noWrap/>
            <w:vAlign w:val="center"/>
          </w:tcPr>
          <w:p w14:paraId="02FF0130">
            <w:pPr>
              <w:spacing w:line="44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noWrap/>
            <w:vAlign w:val="center"/>
          </w:tcPr>
          <w:p w14:paraId="7E84D559">
            <w:pPr>
              <w:spacing w:line="44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E46B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789" w:type="dxa"/>
            <w:noWrap/>
            <w:vAlign w:val="center"/>
          </w:tcPr>
          <w:p w14:paraId="21236629">
            <w:pPr>
              <w:pStyle w:val="11"/>
              <w:widowControl/>
              <w:spacing w:before="0" w:beforeAutospacing="0" w:after="0" w:afterAutospacing="0" w:line="44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15"/>
                <w:rFonts w:hint="eastAsia" w:ascii="仿宋" w:hAnsi="仿宋" w:eastAsia="仿宋" w:cs="仿宋"/>
                <w:bCs/>
                <w:color w:val="auto"/>
                <w:sz w:val="24"/>
                <w:szCs w:val="24"/>
                <w:shd w:val="clear" w:color="auto" w:fill="FFFFFF"/>
              </w:rPr>
              <w:t>合计</w:t>
            </w:r>
          </w:p>
        </w:tc>
        <w:tc>
          <w:tcPr>
            <w:tcW w:w="8498" w:type="dxa"/>
            <w:gridSpan w:val="7"/>
            <w:noWrap/>
            <w:vAlign w:val="center"/>
          </w:tcPr>
          <w:p w14:paraId="508605A5">
            <w:pPr>
              <w:pStyle w:val="11"/>
              <w:widowControl/>
              <w:tabs>
                <w:tab w:val="left" w:pos="1839"/>
              </w:tabs>
              <w:spacing w:before="0" w:beforeAutospacing="0" w:after="0" w:afterAutospacing="0"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人民币：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元整（￥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元）</w:t>
            </w:r>
          </w:p>
        </w:tc>
      </w:tr>
    </w:tbl>
    <w:p w14:paraId="71D0DF50">
      <w:pPr>
        <w:spacing w:line="340" w:lineRule="exact"/>
        <w:jc w:val="left"/>
        <w:rPr>
          <w:rFonts w:ascii="仿宋" w:hAnsi="仿宋" w:eastAsia="仿宋"/>
          <w:b/>
          <w:color w:val="auto"/>
          <w:sz w:val="24"/>
        </w:rPr>
      </w:pPr>
    </w:p>
    <w:p w14:paraId="4FAAB3AA">
      <w:pPr>
        <w:rPr>
          <w:rFonts w:ascii="仿宋" w:hAnsi="仿宋" w:eastAsia="仿宋" w:cs="仿宋_GB2312"/>
          <w:b/>
          <w:color w:val="auto"/>
          <w:sz w:val="24"/>
          <w:szCs w:val="24"/>
        </w:rPr>
      </w:pPr>
      <w:r>
        <w:rPr>
          <w:rFonts w:hint="eastAsia" w:ascii="仿宋" w:hAnsi="仿宋" w:eastAsia="仿宋" w:cs="仿宋_GB2312"/>
          <w:b/>
          <w:color w:val="auto"/>
          <w:sz w:val="24"/>
          <w:szCs w:val="24"/>
        </w:rPr>
        <w:t>注：1.以上投标报价包含货物费、运输费、安装调试费、服务费、税费等全部费用在内。</w:t>
      </w:r>
    </w:p>
    <w:p w14:paraId="159E7352">
      <w:pPr>
        <w:widowControl/>
        <w:jc w:val="left"/>
        <w:rPr>
          <w:rFonts w:ascii="仿宋" w:hAnsi="仿宋" w:eastAsia="仿宋"/>
          <w:color w:val="auto"/>
          <w:sz w:val="24"/>
        </w:rPr>
      </w:pPr>
    </w:p>
    <w:p w14:paraId="0BD26209">
      <w:pPr>
        <w:widowControl/>
        <w:ind w:firstLine="5040" w:firstLineChars="2100"/>
        <w:jc w:val="lef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授权代表签字：</w:t>
      </w:r>
    </w:p>
    <w:p w14:paraId="041C1273">
      <w:pPr>
        <w:spacing w:line="360" w:lineRule="auto"/>
        <w:ind w:right="120" w:firstLine="5040" w:firstLineChars="2100"/>
        <w:jc w:val="lef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投标人（盖章）：</w:t>
      </w:r>
    </w:p>
    <w:p w14:paraId="3E947CD5">
      <w:pPr>
        <w:ind w:firstLine="5040" w:firstLineChars="2100"/>
        <w:rPr>
          <w:rFonts w:hint="eastAsia" w:ascii="仿宋" w:hAnsi="仿宋" w:eastAsia="仿宋"/>
          <w:b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202</w:t>
      </w:r>
      <w:r>
        <w:rPr>
          <w:rFonts w:hint="eastAsia" w:ascii="仿宋" w:hAnsi="仿宋" w:eastAsia="仿宋"/>
          <w:color w:val="auto"/>
          <w:sz w:val="24"/>
          <w:lang w:val="en-US" w:eastAsia="zh-CN"/>
        </w:rPr>
        <w:t>5</w:t>
      </w:r>
      <w:r>
        <w:rPr>
          <w:rFonts w:hint="eastAsia"/>
          <w:color w:val="auto"/>
        </w:rPr>
        <w:t>年    月   日</w:t>
      </w:r>
    </w:p>
    <w:p w14:paraId="04EE02E6">
      <w:pPr>
        <w:widowControl/>
        <w:jc w:val="left"/>
        <w:rPr>
          <w:rFonts w:ascii="仿宋" w:hAnsi="仿宋" w:eastAsia="仿宋"/>
          <w:b/>
          <w:color w:val="auto"/>
          <w:sz w:val="24"/>
        </w:rPr>
      </w:pPr>
      <w:r>
        <w:rPr>
          <w:rFonts w:hint="eastAsia" w:ascii="仿宋" w:hAnsi="仿宋" w:eastAsia="仿宋"/>
          <w:b/>
          <w:color w:val="auto"/>
          <w:sz w:val="24"/>
        </w:rPr>
        <w:t>附件</w:t>
      </w:r>
      <w:r>
        <w:rPr>
          <w:rFonts w:hint="default" w:ascii="仿宋" w:hAnsi="仿宋" w:eastAsia="仿宋"/>
          <w:b/>
          <w:color w:val="auto"/>
          <w:sz w:val="24"/>
          <w:lang w:val="en-US"/>
        </w:rPr>
        <w:t>2</w:t>
      </w:r>
    </w:p>
    <w:p w14:paraId="052B36C3">
      <w:pPr>
        <w:spacing w:before="100" w:line="340" w:lineRule="exact"/>
        <w:ind w:firstLine="723" w:firstLineChars="200"/>
        <w:jc w:val="center"/>
        <w:rPr>
          <w:rFonts w:ascii="仿宋" w:hAnsi="仿宋" w:eastAsia="仿宋"/>
          <w:b/>
          <w:color w:val="auto"/>
          <w:sz w:val="36"/>
          <w:szCs w:val="36"/>
        </w:rPr>
      </w:pPr>
      <w:r>
        <w:rPr>
          <w:rFonts w:hint="eastAsia" w:ascii="仿宋" w:hAnsi="仿宋" w:eastAsia="仿宋"/>
          <w:b/>
          <w:color w:val="auto"/>
          <w:sz w:val="36"/>
          <w:szCs w:val="36"/>
        </w:rPr>
        <w:t>技术参数响应表</w:t>
      </w:r>
    </w:p>
    <w:p w14:paraId="48B5BC34">
      <w:pPr>
        <w:spacing w:before="100" w:line="340" w:lineRule="exact"/>
        <w:ind w:firstLine="723" w:firstLineChars="200"/>
        <w:jc w:val="center"/>
        <w:rPr>
          <w:rFonts w:ascii="仿宋" w:hAnsi="仿宋" w:eastAsia="仿宋"/>
          <w:b/>
          <w:color w:val="auto"/>
          <w:sz w:val="36"/>
          <w:szCs w:val="36"/>
        </w:rPr>
      </w:pPr>
    </w:p>
    <w:p w14:paraId="2474DCF0">
      <w:pPr>
        <w:spacing w:line="340" w:lineRule="exact"/>
        <w:jc w:val="left"/>
        <w:rPr>
          <w:rFonts w:ascii="仿宋" w:hAnsi="仿宋" w:eastAsia="仿宋" w:cs="宋体"/>
          <w:color w:val="auto"/>
          <w:kern w:val="0"/>
          <w:sz w:val="24"/>
        </w:rPr>
      </w:pPr>
      <w:r>
        <w:rPr>
          <w:rFonts w:hint="eastAsia" w:ascii="仿宋" w:hAnsi="仿宋" w:eastAsia="仿宋"/>
          <w:b/>
          <w:color w:val="auto"/>
          <w:sz w:val="24"/>
        </w:rPr>
        <w:t>项目名称：</w:t>
      </w:r>
      <w:r>
        <w:rPr>
          <w:rFonts w:hint="eastAsia" w:ascii="仿宋" w:hAnsi="仿宋" w:eastAsia="仿宋" w:cs="宋体"/>
          <w:color w:val="auto"/>
          <w:kern w:val="0"/>
          <w:sz w:val="24"/>
          <w:lang w:eastAsia="zh-CN"/>
        </w:rPr>
        <w:t>湖州师范学院工学院四通道电化学工作站采购项目</w:t>
      </w:r>
    </w:p>
    <w:p w14:paraId="25BBC086">
      <w:pPr>
        <w:spacing w:line="340" w:lineRule="exact"/>
        <w:jc w:val="left"/>
        <w:rPr>
          <w:rFonts w:hint="eastAsia" w:ascii="仿宋" w:hAnsi="仿宋" w:eastAsia="仿宋"/>
          <w:color w:val="auto"/>
          <w:sz w:val="24"/>
          <w:lang w:eastAsia="zh-CN"/>
        </w:rPr>
      </w:pPr>
      <w:r>
        <w:rPr>
          <w:rFonts w:hint="eastAsia" w:ascii="仿宋" w:hAnsi="仿宋" w:eastAsia="仿宋"/>
          <w:b/>
          <w:color w:val="auto"/>
          <w:sz w:val="24"/>
        </w:rPr>
        <w:t>项目编号：</w:t>
      </w:r>
      <w:r>
        <w:rPr>
          <w:rFonts w:hint="eastAsia" w:ascii="仿宋" w:hAnsi="仿宋" w:eastAsia="仿宋"/>
          <w:color w:val="auto"/>
          <w:sz w:val="24"/>
          <w:lang w:eastAsia="zh-CN"/>
        </w:rPr>
        <w:t>XZ2025-010</w:t>
      </w:r>
    </w:p>
    <w:tbl>
      <w:tblPr>
        <w:tblStyle w:val="12"/>
        <w:tblW w:w="950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982"/>
        <w:gridCol w:w="3198"/>
        <w:gridCol w:w="2968"/>
        <w:gridCol w:w="726"/>
      </w:tblGrid>
      <w:tr w14:paraId="39CE4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629" w:type="dxa"/>
            <w:noWrap/>
            <w:vAlign w:val="center"/>
          </w:tcPr>
          <w:p w14:paraId="1942558D">
            <w:pPr>
              <w:pStyle w:val="11"/>
              <w:widowControl/>
              <w:spacing w:before="225" w:beforeAutospacing="0" w:after="225" w:afterAutospacing="0" w:line="0" w:lineRule="atLeast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982" w:type="dxa"/>
            <w:noWrap/>
            <w:vAlign w:val="center"/>
          </w:tcPr>
          <w:p w14:paraId="0820FC6C">
            <w:pPr>
              <w:pStyle w:val="11"/>
              <w:widowControl/>
              <w:spacing w:before="225" w:beforeAutospacing="0" w:after="225" w:afterAutospacing="0" w:line="0" w:lineRule="atLeast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3198" w:type="dxa"/>
            <w:noWrap/>
            <w:vAlign w:val="center"/>
          </w:tcPr>
          <w:p w14:paraId="10665824">
            <w:pPr>
              <w:pStyle w:val="11"/>
              <w:widowControl/>
              <w:spacing w:before="225" w:beforeAutospacing="0" w:after="225" w:afterAutospacing="0" w:line="0" w:lineRule="atLeast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技术参数需求</w:t>
            </w:r>
          </w:p>
        </w:tc>
        <w:tc>
          <w:tcPr>
            <w:tcW w:w="2968" w:type="dxa"/>
            <w:noWrap/>
            <w:vAlign w:val="center"/>
          </w:tcPr>
          <w:p w14:paraId="7982274D">
            <w:pPr>
              <w:pStyle w:val="11"/>
              <w:widowControl/>
              <w:spacing w:before="225" w:beforeAutospacing="0" w:after="225" w:afterAutospacing="0" w:line="0" w:lineRule="atLeast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投标产品技术参数</w:t>
            </w:r>
          </w:p>
        </w:tc>
        <w:tc>
          <w:tcPr>
            <w:tcW w:w="726" w:type="dxa"/>
            <w:noWrap/>
            <w:vAlign w:val="center"/>
          </w:tcPr>
          <w:p w14:paraId="29E2FDC0">
            <w:pPr>
              <w:pStyle w:val="11"/>
              <w:widowControl/>
              <w:spacing w:before="225" w:beforeAutospacing="0" w:after="225" w:afterAutospacing="0" w:line="0" w:lineRule="atLeast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偏离情况</w:t>
            </w:r>
          </w:p>
        </w:tc>
      </w:tr>
      <w:tr w14:paraId="40699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629" w:type="dxa"/>
            <w:noWrap/>
            <w:vAlign w:val="center"/>
          </w:tcPr>
          <w:p w14:paraId="40A92793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982" w:type="dxa"/>
            <w:noWrap/>
            <w:vAlign w:val="center"/>
          </w:tcPr>
          <w:p w14:paraId="5BFB6FCF"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四通道电化学工作站</w:t>
            </w:r>
          </w:p>
        </w:tc>
        <w:tc>
          <w:tcPr>
            <w:tcW w:w="3198" w:type="dxa"/>
            <w:noWrap/>
            <w:vAlign w:val="center"/>
          </w:tcPr>
          <w:p w14:paraId="7A1B6BD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968" w:type="dxa"/>
            <w:noWrap/>
            <w:vAlign w:val="center"/>
          </w:tcPr>
          <w:p w14:paraId="06655F3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26" w:type="dxa"/>
            <w:noWrap/>
            <w:vAlign w:val="center"/>
          </w:tcPr>
          <w:p w14:paraId="4EAB9587">
            <w:pP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</w:tr>
    </w:tbl>
    <w:p w14:paraId="637B8F8A">
      <w:pPr>
        <w:spacing w:line="340" w:lineRule="exact"/>
        <w:jc w:val="left"/>
        <w:rPr>
          <w:rFonts w:ascii="仿宋" w:hAnsi="仿宋" w:eastAsia="仿宋"/>
          <w:b/>
          <w:color w:val="auto"/>
          <w:sz w:val="24"/>
          <w:szCs w:val="24"/>
        </w:rPr>
      </w:pPr>
    </w:p>
    <w:p w14:paraId="04EB37C0">
      <w:pPr>
        <w:ind w:firstLine="482" w:firstLineChars="200"/>
        <w:rPr>
          <w:rFonts w:ascii="仿宋" w:hAnsi="仿宋" w:eastAsia="仿宋" w:cs="仿宋_GB2312"/>
          <w:b/>
          <w:color w:val="auto"/>
          <w:sz w:val="24"/>
          <w:szCs w:val="24"/>
        </w:rPr>
      </w:pPr>
      <w:r>
        <w:rPr>
          <w:rFonts w:hint="eastAsia" w:ascii="仿宋" w:hAnsi="仿宋" w:eastAsia="仿宋" w:cs="仿宋_GB2312"/>
          <w:b/>
          <w:color w:val="auto"/>
          <w:sz w:val="24"/>
          <w:szCs w:val="24"/>
        </w:rPr>
        <w:t>注：1.根据技术参数需求表制作，技术参数存在负偏离作无效标处理。</w:t>
      </w:r>
    </w:p>
    <w:p w14:paraId="77BF8FA2">
      <w:pPr>
        <w:ind w:firstLine="482" w:firstLineChars="200"/>
        <w:rPr>
          <w:rFonts w:ascii="仿宋" w:hAnsi="仿宋" w:eastAsia="仿宋" w:cs="仿宋_GB2312"/>
          <w:b/>
          <w:color w:val="auto"/>
          <w:sz w:val="24"/>
          <w:szCs w:val="24"/>
        </w:rPr>
      </w:pPr>
      <w:r>
        <w:rPr>
          <w:rFonts w:ascii="仿宋" w:hAnsi="仿宋" w:eastAsia="仿宋" w:cs="仿宋_GB2312"/>
          <w:b/>
          <w:color w:val="auto"/>
          <w:sz w:val="24"/>
          <w:szCs w:val="24"/>
        </w:rPr>
        <w:t>2</w:t>
      </w:r>
      <w:r>
        <w:rPr>
          <w:rFonts w:hint="eastAsia" w:ascii="仿宋" w:hAnsi="仿宋" w:eastAsia="仿宋" w:cs="仿宋_GB2312"/>
          <w:b/>
          <w:color w:val="auto"/>
          <w:sz w:val="24"/>
          <w:szCs w:val="24"/>
        </w:rPr>
        <w:t>.投标产品技术参数经认定与品牌型号或产品简介等不符的，作无效标处理。</w:t>
      </w:r>
    </w:p>
    <w:p w14:paraId="7779E600">
      <w:pPr>
        <w:widowControl/>
        <w:jc w:val="left"/>
        <w:rPr>
          <w:rFonts w:ascii="仿宋" w:hAnsi="仿宋" w:eastAsia="仿宋"/>
          <w:color w:val="auto"/>
          <w:sz w:val="24"/>
          <w:szCs w:val="24"/>
        </w:rPr>
      </w:pPr>
    </w:p>
    <w:p w14:paraId="50B353D1">
      <w:pPr>
        <w:widowControl/>
        <w:ind w:firstLine="5040" w:firstLineChars="2100"/>
        <w:jc w:val="lef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授权代表签字：</w:t>
      </w:r>
    </w:p>
    <w:p w14:paraId="4B7842BE">
      <w:pPr>
        <w:spacing w:line="360" w:lineRule="auto"/>
        <w:ind w:right="120" w:firstLine="5040" w:firstLineChars="2100"/>
        <w:jc w:val="lef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投标人（盖章）：</w:t>
      </w:r>
    </w:p>
    <w:p w14:paraId="55B5BD0F">
      <w:pPr>
        <w:ind w:firstLine="5040" w:firstLineChars="2100"/>
        <w:rPr>
          <w:color w:val="auto"/>
        </w:rPr>
      </w:pPr>
      <w:r>
        <w:rPr>
          <w:rFonts w:hint="eastAsia" w:ascii="仿宋" w:hAnsi="仿宋" w:eastAsia="仿宋"/>
          <w:color w:val="auto"/>
          <w:sz w:val="24"/>
        </w:rPr>
        <w:t>202</w:t>
      </w:r>
      <w:r>
        <w:rPr>
          <w:rFonts w:hint="eastAsia" w:ascii="仿宋" w:hAnsi="仿宋" w:eastAsia="仿宋"/>
          <w:color w:val="auto"/>
          <w:sz w:val="24"/>
          <w:lang w:val="en-US" w:eastAsia="zh-CN"/>
        </w:rPr>
        <w:t>5</w:t>
      </w:r>
      <w:r>
        <w:rPr>
          <w:rFonts w:hint="eastAsia"/>
          <w:color w:val="auto"/>
        </w:rPr>
        <w:t>年   月   日</w:t>
      </w:r>
    </w:p>
    <w:sectPr>
      <w:pgSz w:w="11906" w:h="16838"/>
      <w:pgMar w:top="1134" w:right="1020" w:bottom="1134" w:left="10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ABBA7F"/>
    <w:multiLevelType w:val="singleLevel"/>
    <w:tmpl w:val="42ABBA7F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hideSpellingErrors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hmYTcyMmZiMDk2YzJmNjU0Y2I1YzE5MTg1MjQ0OWQifQ=="/>
  </w:docVars>
  <w:rsids>
    <w:rsidRoot w:val="003021B3"/>
    <w:rsid w:val="0000054B"/>
    <w:rsid w:val="00004BC3"/>
    <w:rsid w:val="00016058"/>
    <w:rsid w:val="00017251"/>
    <w:rsid w:val="000274EC"/>
    <w:rsid w:val="00033134"/>
    <w:rsid w:val="00041704"/>
    <w:rsid w:val="00045A57"/>
    <w:rsid w:val="000529EB"/>
    <w:rsid w:val="00053765"/>
    <w:rsid w:val="00053FAA"/>
    <w:rsid w:val="00067F57"/>
    <w:rsid w:val="00070C1A"/>
    <w:rsid w:val="00071969"/>
    <w:rsid w:val="00073DA5"/>
    <w:rsid w:val="00074A37"/>
    <w:rsid w:val="00083BE2"/>
    <w:rsid w:val="000918EC"/>
    <w:rsid w:val="00095BE3"/>
    <w:rsid w:val="000A2632"/>
    <w:rsid w:val="000A4D90"/>
    <w:rsid w:val="000A5271"/>
    <w:rsid w:val="000A5287"/>
    <w:rsid w:val="000A550F"/>
    <w:rsid w:val="000A636C"/>
    <w:rsid w:val="000A7397"/>
    <w:rsid w:val="000B37C1"/>
    <w:rsid w:val="000B4F60"/>
    <w:rsid w:val="000B5C26"/>
    <w:rsid w:val="000B7057"/>
    <w:rsid w:val="000B741E"/>
    <w:rsid w:val="000C5428"/>
    <w:rsid w:val="000D295B"/>
    <w:rsid w:val="000E36C4"/>
    <w:rsid w:val="000E5186"/>
    <w:rsid w:val="000F611C"/>
    <w:rsid w:val="00103DF6"/>
    <w:rsid w:val="00103E96"/>
    <w:rsid w:val="00107645"/>
    <w:rsid w:val="00114986"/>
    <w:rsid w:val="00124959"/>
    <w:rsid w:val="0013413B"/>
    <w:rsid w:val="00142043"/>
    <w:rsid w:val="001424F5"/>
    <w:rsid w:val="00164D28"/>
    <w:rsid w:val="00170EF8"/>
    <w:rsid w:val="001758ED"/>
    <w:rsid w:val="00181813"/>
    <w:rsid w:val="001871BA"/>
    <w:rsid w:val="00196958"/>
    <w:rsid w:val="0019725C"/>
    <w:rsid w:val="001B65C1"/>
    <w:rsid w:val="001B6CE3"/>
    <w:rsid w:val="001C604E"/>
    <w:rsid w:val="001D1CA6"/>
    <w:rsid w:val="001F0AE2"/>
    <w:rsid w:val="001F18CA"/>
    <w:rsid w:val="001F56B0"/>
    <w:rsid w:val="00200CBC"/>
    <w:rsid w:val="00206928"/>
    <w:rsid w:val="00206BE9"/>
    <w:rsid w:val="00211618"/>
    <w:rsid w:val="002222D6"/>
    <w:rsid w:val="002323B0"/>
    <w:rsid w:val="00235100"/>
    <w:rsid w:val="00235FE7"/>
    <w:rsid w:val="00236A7F"/>
    <w:rsid w:val="00236F5F"/>
    <w:rsid w:val="002458CA"/>
    <w:rsid w:val="002468BA"/>
    <w:rsid w:val="00255EE9"/>
    <w:rsid w:val="00260836"/>
    <w:rsid w:val="002670D9"/>
    <w:rsid w:val="00272ACA"/>
    <w:rsid w:val="00273490"/>
    <w:rsid w:val="00297367"/>
    <w:rsid w:val="002A4C53"/>
    <w:rsid w:val="002A6B23"/>
    <w:rsid w:val="002A7110"/>
    <w:rsid w:val="002B5C50"/>
    <w:rsid w:val="002C22FC"/>
    <w:rsid w:val="002C5B4A"/>
    <w:rsid w:val="002D47CE"/>
    <w:rsid w:val="002D47DD"/>
    <w:rsid w:val="002D5E52"/>
    <w:rsid w:val="002E558C"/>
    <w:rsid w:val="002F1D2C"/>
    <w:rsid w:val="003021B3"/>
    <w:rsid w:val="00312E86"/>
    <w:rsid w:val="003154AB"/>
    <w:rsid w:val="00316E95"/>
    <w:rsid w:val="00324436"/>
    <w:rsid w:val="003249F3"/>
    <w:rsid w:val="00331686"/>
    <w:rsid w:val="00342BB1"/>
    <w:rsid w:val="00354DFE"/>
    <w:rsid w:val="003674A5"/>
    <w:rsid w:val="00367BCF"/>
    <w:rsid w:val="003720F1"/>
    <w:rsid w:val="00384CBE"/>
    <w:rsid w:val="00385179"/>
    <w:rsid w:val="00387E0F"/>
    <w:rsid w:val="00390C90"/>
    <w:rsid w:val="00391C4B"/>
    <w:rsid w:val="00393E06"/>
    <w:rsid w:val="003B2A77"/>
    <w:rsid w:val="003B6995"/>
    <w:rsid w:val="003C19D7"/>
    <w:rsid w:val="003C2DA7"/>
    <w:rsid w:val="003E6487"/>
    <w:rsid w:val="00407F40"/>
    <w:rsid w:val="0041462C"/>
    <w:rsid w:val="00432D33"/>
    <w:rsid w:val="00433ED5"/>
    <w:rsid w:val="0043498D"/>
    <w:rsid w:val="004368C6"/>
    <w:rsid w:val="00441BE4"/>
    <w:rsid w:val="00460BD6"/>
    <w:rsid w:val="00464FC7"/>
    <w:rsid w:val="004749F2"/>
    <w:rsid w:val="004770CB"/>
    <w:rsid w:val="00483CE6"/>
    <w:rsid w:val="00485A07"/>
    <w:rsid w:val="00490B6F"/>
    <w:rsid w:val="00494C63"/>
    <w:rsid w:val="004A2667"/>
    <w:rsid w:val="004A56B6"/>
    <w:rsid w:val="004A758A"/>
    <w:rsid w:val="004B0ADF"/>
    <w:rsid w:val="004C1F18"/>
    <w:rsid w:val="004C72AD"/>
    <w:rsid w:val="004D1DF2"/>
    <w:rsid w:val="004E6DF2"/>
    <w:rsid w:val="004F36E3"/>
    <w:rsid w:val="00503C41"/>
    <w:rsid w:val="005269E8"/>
    <w:rsid w:val="00535608"/>
    <w:rsid w:val="00542203"/>
    <w:rsid w:val="00542BC8"/>
    <w:rsid w:val="0055543E"/>
    <w:rsid w:val="00566731"/>
    <w:rsid w:val="00572394"/>
    <w:rsid w:val="0058019E"/>
    <w:rsid w:val="0058789F"/>
    <w:rsid w:val="005930D7"/>
    <w:rsid w:val="00593F49"/>
    <w:rsid w:val="00594E0A"/>
    <w:rsid w:val="005A1824"/>
    <w:rsid w:val="005A3E25"/>
    <w:rsid w:val="005B6575"/>
    <w:rsid w:val="005C1E82"/>
    <w:rsid w:val="005C3567"/>
    <w:rsid w:val="005C3D8C"/>
    <w:rsid w:val="005D04A6"/>
    <w:rsid w:val="005D553D"/>
    <w:rsid w:val="005D76A8"/>
    <w:rsid w:val="005E2BCB"/>
    <w:rsid w:val="005F005C"/>
    <w:rsid w:val="005F2C25"/>
    <w:rsid w:val="005F629A"/>
    <w:rsid w:val="005F62AB"/>
    <w:rsid w:val="005F6475"/>
    <w:rsid w:val="006003D1"/>
    <w:rsid w:val="00607785"/>
    <w:rsid w:val="00611B8C"/>
    <w:rsid w:val="00614DC6"/>
    <w:rsid w:val="00640E94"/>
    <w:rsid w:val="00646617"/>
    <w:rsid w:val="0066689D"/>
    <w:rsid w:val="00666CBF"/>
    <w:rsid w:val="00670E5E"/>
    <w:rsid w:val="00671345"/>
    <w:rsid w:val="0067278C"/>
    <w:rsid w:val="006727CA"/>
    <w:rsid w:val="00680592"/>
    <w:rsid w:val="006841CC"/>
    <w:rsid w:val="00686EBA"/>
    <w:rsid w:val="0069035B"/>
    <w:rsid w:val="00692B20"/>
    <w:rsid w:val="00696174"/>
    <w:rsid w:val="006A7822"/>
    <w:rsid w:val="006B62D4"/>
    <w:rsid w:val="006C1E8B"/>
    <w:rsid w:val="006C1EAD"/>
    <w:rsid w:val="006C48B4"/>
    <w:rsid w:val="006C4AEC"/>
    <w:rsid w:val="006C673A"/>
    <w:rsid w:val="006E4075"/>
    <w:rsid w:val="00704A2E"/>
    <w:rsid w:val="00707602"/>
    <w:rsid w:val="007128AE"/>
    <w:rsid w:val="007163A5"/>
    <w:rsid w:val="00720803"/>
    <w:rsid w:val="00732EF9"/>
    <w:rsid w:val="00735C38"/>
    <w:rsid w:val="00736AE9"/>
    <w:rsid w:val="00740808"/>
    <w:rsid w:val="00742BA7"/>
    <w:rsid w:val="00745CE3"/>
    <w:rsid w:val="007472C6"/>
    <w:rsid w:val="007502F8"/>
    <w:rsid w:val="00762744"/>
    <w:rsid w:val="00767AA4"/>
    <w:rsid w:val="0077285A"/>
    <w:rsid w:val="00776764"/>
    <w:rsid w:val="00777DF7"/>
    <w:rsid w:val="00792A46"/>
    <w:rsid w:val="00793139"/>
    <w:rsid w:val="007A360D"/>
    <w:rsid w:val="007B091D"/>
    <w:rsid w:val="007B12EB"/>
    <w:rsid w:val="007E1B1C"/>
    <w:rsid w:val="007E25CA"/>
    <w:rsid w:val="007E39F7"/>
    <w:rsid w:val="007E518B"/>
    <w:rsid w:val="007F358A"/>
    <w:rsid w:val="007F573C"/>
    <w:rsid w:val="007F6F3B"/>
    <w:rsid w:val="00817CF6"/>
    <w:rsid w:val="00821D13"/>
    <w:rsid w:val="0082407B"/>
    <w:rsid w:val="00833C37"/>
    <w:rsid w:val="0083698A"/>
    <w:rsid w:val="00844C36"/>
    <w:rsid w:val="00847624"/>
    <w:rsid w:val="00853385"/>
    <w:rsid w:val="00855F6E"/>
    <w:rsid w:val="00864C9B"/>
    <w:rsid w:val="00872B4B"/>
    <w:rsid w:val="008809F5"/>
    <w:rsid w:val="00896AD5"/>
    <w:rsid w:val="008A05B8"/>
    <w:rsid w:val="008A125F"/>
    <w:rsid w:val="008B6991"/>
    <w:rsid w:val="008C7B45"/>
    <w:rsid w:val="008D57C7"/>
    <w:rsid w:val="008D76CB"/>
    <w:rsid w:val="008E78EF"/>
    <w:rsid w:val="008F0A61"/>
    <w:rsid w:val="008F2A12"/>
    <w:rsid w:val="009021DC"/>
    <w:rsid w:val="00911A6E"/>
    <w:rsid w:val="0091390C"/>
    <w:rsid w:val="009142A2"/>
    <w:rsid w:val="00921322"/>
    <w:rsid w:val="009215E0"/>
    <w:rsid w:val="009218D7"/>
    <w:rsid w:val="00923F15"/>
    <w:rsid w:val="00931FB7"/>
    <w:rsid w:val="00931FE6"/>
    <w:rsid w:val="009325AD"/>
    <w:rsid w:val="009360BD"/>
    <w:rsid w:val="0094289E"/>
    <w:rsid w:val="009479F0"/>
    <w:rsid w:val="0095124F"/>
    <w:rsid w:val="009631C8"/>
    <w:rsid w:val="00966BDF"/>
    <w:rsid w:val="00981A82"/>
    <w:rsid w:val="00987EA8"/>
    <w:rsid w:val="00993F49"/>
    <w:rsid w:val="009A510E"/>
    <w:rsid w:val="009A6DB0"/>
    <w:rsid w:val="009A7962"/>
    <w:rsid w:val="009B02A9"/>
    <w:rsid w:val="009B2EAF"/>
    <w:rsid w:val="009B6DA6"/>
    <w:rsid w:val="009C1307"/>
    <w:rsid w:val="009C2C4C"/>
    <w:rsid w:val="009C72E0"/>
    <w:rsid w:val="009D2BF9"/>
    <w:rsid w:val="009D446B"/>
    <w:rsid w:val="009E20C0"/>
    <w:rsid w:val="009E2B7C"/>
    <w:rsid w:val="009E4658"/>
    <w:rsid w:val="009E5E8E"/>
    <w:rsid w:val="009F0D87"/>
    <w:rsid w:val="009F4AE8"/>
    <w:rsid w:val="00A36549"/>
    <w:rsid w:val="00A375C7"/>
    <w:rsid w:val="00A37B0D"/>
    <w:rsid w:val="00A42819"/>
    <w:rsid w:val="00A60C0E"/>
    <w:rsid w:val="00A6529F"/>
    <w:rsid w:val="00A66C3C"/>
    <w:rsid w:val="00A67D6C"/>
    <w:rsid w:val="00A714AC"/>
    <w:rsid w:val="00A767D7"/>
    <w:rsid w:val="00A85C38"/>
    <w:rsid w:val="00A85FFE"/>
    <w:rsid w:val="00A8709D"/>
    <w:rsid w:val="00AA5D65"/>
    <w:rsid w:val="00AC513F"/>
    <w:rsid w:val="00AC57FC"/>
    <w:rsid w:val="00AD31DA"/>
    <w:rsid w:val="00AD439C"/>
    <w:rsid w:val="00AD6B82"/>
    <w:rsid w:val="00AE10F0"/>
    <w:rsid w:val="00AE3BD7"/>
    <w:rsid w:val="00AE3CAF"/>
    <w:rsid w:val="00AF122E"/>
    <w:rsid w:val="00AF2DAE"/>
    <w:rsid w:val="00B201AB"/>
    <w:rsid w:val="00B22246"/>
    <w:rsid w:val="00B22CE7"/>
    <w:rsid w:val="00B3627B"/>
    <w:rsid w:val="00B446D2"/>
    <w:rsid w:val="00B51E6F"/>
    <w:rsid w:val="00B60659"/>
    <w:rsid w:val="00B62EEC"/>
    <w:rsid w:val="00B64B62"/>
    <w:rsid w:val="00B67B3E"/>
    <w:rsid w:val="00B7454B"/>
    <w:rsid w:val="00B7490F"/>
    <w:rsid w:val="00B750AA"/>
    <w:rsid w:val="00B868CA"/>
    <w:rsid w:val="00B87935"/>
    <w:rsid w:val="00B94399"/>
    <w:rsid w:val="00BA05DE"/>
    <w:rsid w:val="00BA3BF8"/>
    <w:rsid w:val="00BB610A"/>
    <w:rsid w:val="00BB7733"/>
    <w:rsid w:val="00BC420C"/>
    <w:rsid w:val="00BD01BC"/>
    <w:rsid w:val="00BD115F"/>
    <w:rsid w:val="00BE1C15"/>
    <w:rsid w:val="00BE2CBE"/>
    <w:rsid w:val="00BF1298"/>
    <w:rsid w:val="00BF2C02"/>
    <w:rsid w:val="00BF650B"/>
    <w:rsid w:val="00C02326"/>
    <w:rsid w:val="00C0739F"/>
    <w:rsid w:val="00C113FC"/>
    <w:rsid w:val="00C1298A"/>
    <w:rsid w:val="00C1422E"/>
    <w:rsid w:val="00C142F6"/>
    <w:rsid w:val="00C2006F"/>
    <w:rsid w:val="00C234BB"/>
    <w:rsid w:val="00C238FB"/>
    <w:rsid w:val="00C4496D"/>
    <w:rsid w:val="00C45B1C"/>
    <w:rsid w:val="00C51B6C"/>
    <w:rsid w:val="00C51BFF"/>
    <w:rsid w:val="00C51ECD"/>
    <w:rsid w:val="00C555A3"/>
    <w:rsid w:val="00C64054"/>
    <w:rsid w:val="00C6760E"/>
    <w:rsid w:val="00C733FD"/>
    <w:rsid w:val="00C82125"/>
    <w:rsid w:val="00C85DA4"/>
    <w:rsid w:val="00C87338"/>
    <w:rsid w:val="00C91A67"/>
    <w:rsid w:val="00C9740E"/>
    <w:rsid w:val="00CA04EA"/>
    <w:rsid w:val="00CA0E12"/>
    <w:rsid w:val="00CB2B7F"/>
    <w:rsid w:val="00CB4182"/>
    <w:rsid w:val="00CB5A49"/>
    <w:rsid w:val="00CB6042"/>
    <w:rsid w:val="00CC2986"/>
    <w:rsid w:val="00CC66FE"/>
    <w:rsid w:val="00CC6A72"/>
    <w:rsid w:val="00CF4A13"/>
    <w:rsid w:val="00D115D0"/>
    <w:rsid w:val="00D14A54"/>
    <w:rsid w:val="00D24FB3"/>
    <w:rsid w:val="00D256F7"/>
    <w:rsid w:val="00D409C6"/>
    <w:rsid w:val="00D51646"/>
    <w:rsid w:val="00D5379A"/>
    <w:rsid w:val="00D56ED5"/>
    <w:rsid w:val="00D80D92"/>
    <w:rsid w:val="00D8779A"/>
    <w:rsid w:val="00DA5F78"/>
    <w:rsid w:val="00DA600B"/>
    <w:rsid w:val="00DA686E"/>
    <w:rsid w:val="00DB25AF"/>
    <w:rsid w:val="00DD4903"/>
    <w:rsid w:val="00DE0174"/>
    <w:rsid w:val="00DE0995"/>
    <w:rsid w:val="00DE3AF7"/>
    <w:rsid w:val="00DF48F9"/>
    <w:rsid w:val="00DF5FCF"/>
    <w:rsid w:val="00E02889"/>
    <w:rsid w:val="00E15D8A"/>
    <w:rsid w:val="00E16462"/>
    <w:rsid w:val="00E2416C"/>
    <w:rsid w:val="00E305F3"/>
    <w:rsid w:val="00E36285"/>
    <w:rsid w:val="00E467F1"/>
    <w:rsid w:val="00E61303"/>
    <w:rsid w:val="00E7387F"/>
    <w:rsid w:val="00E75EB9"/>
    <w:rsid w:val="00E81BA5"/>
    <w:rsid w:val="00E869AE"/>
    <w:rsid w:val="00E87AD0"/>
    <w:rsid w:val="00E94157"/>
    <w:rsid w:val="00E97897"/>
    <w:rsid w:val="00EA5ED5"/>
    <w:rsid w:val="00EA7D91"/>
    <w:rsid w:val="00EB032C"/>
    <w:rsid w:val="00EB0927"/>
    <w:rsid w:val="00EB298B"/>
    <w:rsid w:val="00EB321A"/>
    <w:rsid w:val="00EB4381"/>
    <w:rsid w:val="00EB6A0B"/>
    <w:rsid w:val="00EC14E2"/>
    <w:rsid w:val="00EC722D"/>
    <w:rsid w:val="00EC79EE"/>
    <w:rsid w:val="00ED111E"/>
    <w:rsid w:val="00ED2BB4"/>
    <w:rsid w:val="00EF738E"/>
    <w:rsid w:val="00F11988"/>
    <w:rsid w:val="00F2641B"/>
    <w:rsid w:val="00F26BB2"/>
    <w:rsid w:val="00F32C48"/>
    <w:rsid w:val="00F54AD8"/>
    <w:rsid w:val="00F66634"/>
    <w:rsid w:val="00F83187"/>
    <w:rsid w:val="00FA3255"/>
    <w:rsid w:val="00FA410B"/>
    <w:rsid w:val="00FA5BA2"/>
    <w:rsid w:val="00FA7ECF"/>
    <w:rsid w:val="00FB1E64"/>
    <w:rsid w:val="00FB5C19"/>
    <w:rsid w:val="00FB6783"/>
    <w:rsid w:val="00FC379E"/>
    <w:rsid w:val="00FC4D9D"/>
    <w:rsid w:val="00FD1507"/>
    <w:rsid w:val="00FD1F04"/>
    <w:rsid w:val="00FF654E"/>
    <w:rsid w:val="00FF76BD"/>
    <w:rsid w:val="0194449E"/>
    <w:rsid w:val="02253189"/>
    <w:rsid w:val="02291B0C"/>
    <w:rsid w:val="023B5846"/>
    <w:rsid w:val="033E16C0"/>
    <w:rsid w:val="03635531"/>
    <w:rsid w:val="041C05BB"/>
    <w:rsid w:val="041D117C"/>
    <w:rsid w:val="04554790"/>
    <w:rsid w:val="04856475"/>
    <w:rsid w:val="04BE0603"/>
    <w:rsid w:val="04E1132E"/>
    <w:rsid w:val="06763694"/>
    <w:rsid w:val="07FF49AA"/>
    <w:rsid w:val="083258FA"/>
    <w:rsid w:val="09060A97"/>
    <w:rsid w:val="093D6C97"/>
    <w:rsid w:val="0A404DE6"/>
    <w:rsid w:val="0AA72DDB"/>
    <w:rsid w:val="0CB23EC2"/>
    <w:rsid w:val="0D8D05D5"/>
    <w:rsid w:val="0E704CDD"/>
    <w:rsid w:val="0EDE3359"/>
    <w:rsid w:val="0EF32B63"/>
    <w:rsid w:val="0F780B2B"/>
    <w:rsid w:val="10D96037"/>
    <w:rsid w:val="111C745A"/>
    <w:rsid w:val="11721FDD"/>
    <w:rsid w:val="1190647B"/>
    <w:rsid w:val="12F31EF2"/>
    <w:rsid w:val="133A347D"/>
    <w:rsid w:val="139242E9"/>
    <w:rsid w:val="13A21851"/>
    <w:rsid w:val="143C2E54"/>
    <w:rsid w:val="14DE5154"/>
    <w:rsid w:val="14F90DB5"/>
    <w:rsid w:val="161A1118"/>
    <w:rsid w:val="161A7DAE"/>
    <w:rsid w:val="17DF0739"/>
    <w:rsid w:val="180E5252"/>
    <w:rsid w:val="189F432A"/>
    <w:rsid w:val="18DF749E"/>
    <w:rsid w:val="19257662"/>
    <w:rsid w:val="195A0741"/>
    <w:rsid w:val="1A570823"/>
    <w:rsid w:val="1AC03B87"/>
    <w:rsid w:val="1C2E7B27"/>
    <w:rsid w:val="1C642F39"/>
    <w:rsid w:val="1D126DCC"/>
    <w:rsid w:val="1D3C5034"/>
    <w:rsid w:val="1D553C23"/>
    <w:rsid w:val="1F0C1AAC"/>
    <w:rsid w:val="1F4633B6"/>
    <w:rsid w:val="1FDD1DEC"/>
    <w:rsid w:val="21571E02"/>
    <w:rsid w:val="22355B1C"/>
    <w:rsid w:val="22AE5EF6"/>
    <w:rsid w:val="22DD7FD0"/>
    <w:rsid w:val="25823B8B"/>
    <w:rsid w:val="2658485C"/>
    <w:rsid w:val="273267AE"/>
    <w:rsid w:val="2762746F"/>
    <w:rsid w:val="28312778"/>
    <w:rsid w:val="289D78E7"/>
    <w:rsid w:val="29352AE1"/>
    <w:rsid w:val="2A0C39C4"/>
    <w:rsid w:val="2A5C6402"/>
    <w:rsid w:val="2ABA5E34"/>
    <w:rsid w:val="2CD62A7A"/>
    <w:rsid w:val="2D885BE3"/>
    <w:rsid w:val="2DF239D1"/>
    <w:rsid w:val="2E7214DE"/>
    <w:rsid w:val="2F183464"/>
    <w:rsid w:val="2FA37D62"/>
    <w:rsid w:val="3080083E"/>
    <w:rsid w:val="30CF63E4"/>
    <w:rsid w:val="31104361"/>
    <w:rsid w:val="319A7B95"/>
    <w:rsid w:val="324E782B"/>
    <w:rsid w:val="325651D2"/>
    <w:rsid w:val="32883C32"/>
    <w:rsid w:val="33E82472"/>
    <w:rsid w:val="34AF4409"/>
    <w:rsid w:val="34CA09B9"/>
    <w:rsid w:val="35984DDE"/>
    <w:rsid w:val="35E957AA"/>
    <w:rsid w:val="361758BB"/>
    <w:rsid w:val="365F59E0"/>
    <w:rsid w:val="36770F19"/>
    <w:rsid w:val="367D6ADB"/>
    <w:rsid w:val="38206741"/>
    <w:rsid w:val="386623C6"/>
    <w:rsid w:val="38687442"/>
    <w:rsid w:val="395E1740"/>
    <w:rsid w:val="3A960861"/>
    <w:rsid w:val="3B233FB1"/>
    <w:rsid w:val="3B8A1541"/>
    <w:rsid w:val="3B8D3DA0"/>
    <w:rsid w:val="3C1C5C1D"/>
    <w:rsid w:val="3DC061F2"/>
    <w:rsid w:val="3E236A2A"/>
    <w:rsid w:val="3E3901C8"/>
    <w:rsid w:val="3E657291"/>
    <w:rsid w:val="3ECA132B"/>
    <w:rsid w:val="3EF25A44"/>
    <w:rsid w:val="3F83384A"/>
    <w:rsid w:val="3FED6452"/>
    <w:rsid w:val="40556706"/>
    <w:rsid w:val="418F4CDF"/>
    <w:rsid w:val="42292600"/>
    <w:rsid w:val="430943F2"/>
    <w:rsid w:val="439A41E8"/>
    <w:rsid w:val="444F07B9"/>
    <w:rsid w:val="44AF77AE"/>
    <w:rsid w:val="45070659"/>
    <w:rsid w:val="4554739E"/>
    <w:rsid w:val="4743208F"/>
    <w:rsid w:val="47A64AE4"/>
    <w:rsid w:val="47C15E0F"/>
    <w:rsid w:val="47CA2B40"/>
    <w:rsid w:val="481A3EAD"/>
    <w:rsid w:val="488976ED"/>
    <w:rsid w:val="48A56114"/>
    <w:rsid w:val="48E61849"/>
    <w:rsid w:val="48F57FE5"/>
    <w:rsid w:val="4925491A"/>
    <w:rsid w:val="49BFFC57"/>
    <w:rsid w:val="4A0E786E"/>
    <w:rsid w:val="4A5123EB"/>
    <w:rsid w:val="4A670C31"/>
    <w:rsid w:val="4A7E5397"/>
    <w:rsid w:val="4C277E96"/>
    <w:rsid w:val="4CBC386C"/>
    <w:rsid w:val="4D496342"/>
    <w:rsid w:val="4EFE1071"/>
    <w:rsid w:val="4EFF0C80"/>
    <w:rsid w:val="51120FA7"/>
    <w:rsid w:val="51935DFF"/>
    <w:rsid w:val="519F0F3D"/>
    <w:rsid w:val="51DC4E1F"/>
    <w:rsid w:val="51E729F4"/>
    <w:rsid w:val="52290DE8"/>
    <w:rsid w:val="54474C11"/>
    <w:rsid w:val="5510702B"/>
    <w:rsid w:val="556D01F7"/>
    <w:rsid w:val="563F3703"/>
    <w:rsid w:val="56F207E7"/>
    <w:rsid w:val="56FD7D23"/>
    <w:rsid w:val="57030A86"/>
    <w:rsid w:val="57F90557"/>
    <w:rsid w:val="59D82B5A"/>
    <w:rsid w:val="5A4C6962"/>
    <w:rsid w:val="5A6D5DB8"/>
    <w:rsid w:val="5B0028D0"/>
    <w:rsid w:val="5BA56767"/>
    <w:rsid w:val="5C021133"/>
    <w:rsid w:val="5C317C44"/>
    <w:rsid w:val="5C4F69D3"/>
    <w:rsid w:val="5D4C51B4"/>
    <w:rsid w:val="5E0A2F00"/>
    <w:rsid w:val="5E5643D0"/>
    <w:rsid w:val="5FCE4C96"/>
    <w:rsid w:val="603612D4"/>
    <w:rsid w:val="60655C70"/>
    <w:rsid w:val="61026C5E"/>
    <w:rsid w:val="6136042E"/>
    <w:rsid w:val="614E25DE"/>
    <w:rsid w:val="61981217"/>
    <w:rsid w:val="624A7A61"/>
    <w:rsid w:val="6354294F"/>
    <w:rsid w:val="63753E82"/>
    <w:rsid w:val="63D70224"/>
    <w:rsid w:val="64061022"/>
    <w:rsid w:val="645B1373"/>
    <w:rsid w:val="64F32B07"/>
    <w:rsid w:val="6652165E"/>
    <w:rsid w:val="673B45A6"/>
    <w:rsid w:val="685271EB"/>
    <w:rsid w:val="69191A0D"/>
    <w:rsid w:val="69311924"/>
    <w:rsid w:val="6AB20490"/>
    <w:rsid w:val="6B223264"/>
    <w:rsid w:val="6B936C40"/>
    <w:rsid w:val="6BE33577"/>
    <w:rsid w:val="6C1902DF"/>
    <w:rsid w:val="6C6D65D5"/>
    <w:rsid w:val="6D491B4B"/>
    <w:rsid w:val="6D4B3F62"/>
    <w:rsid w:val="6FE21E08"/>
    <w:rsid w:val="711A6DEF"/>
    <w:rsid w:val="71D716EC"/>
    <w:rsid w:val="71E2193F"/>
    <w:rsid w:val="727260AA"/>
    <w:rsid w:val="72761988"/>
    <w:rsid w:val="73315FFB"/>
    <w:rsid w:val="73C0648F"/>
    <w:rsid w:val="73DD7AEB"/>
    <w:rsid w:val="74DC0DB8"/>
    <w:rsid w:val="76BF0154"/>
    <w:rsid w:val="76D52313"/>
    <w:rsid w:val="7716637C"/>
    <w:rsid w:val="77572FC9"/>
    <w:rsid w:val="777B50F3"/>
    <w:rsid w:val="77FC605F"/>
    <w:rsid w:val="794E4719"/>
    <w:rsid w:val="79A25F21"/>
    <w:rsid w:val="79EA4484"/>
    <w:rsid w:val="7ADC497B"/>
    <w:rsid w:val="7B56228A"/>
    <w:rsid w:val="7C8D28C7"/>
    <w:rsid w:val="7CE74AAA"/>
    <w:rsid w:val="7E93718B"/>
    <w:rsid w:val="7EED217B"/>
    <w:rsid w:val="7F0C2938"/>
    <w:rsid w:val="7F954407"/>
    <w:rsid w:val="7FAB23FC"/>
    <w:rsid w:val="7FADC4D4"/>
    <w:rsid w:val="BFF93F7F"/>
    <w:rsid w:val="F17FB2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Body Text Indent"/>
    <w:basedOn w:val="1"/>
    <w:next w:val="1"/>
    <w:qFormat/>
    <w:uiPriority w:val="0"/>
    <w:pPr>
      <w:ind w:firstLine="540"/>
    </w:pPr>
    <w:rPr>
      <w:sz w:val="28"/>
      <w:szCs w:val="20"/>
    </w:rPr>
  </w:style>
  <w:style w:type="paragraph" w:styleId="7">
    <w:name w:val="Body Text Indent 2"/>
    <w:basedOn w:val="1"/>
    <w:link w:val="20"/>
    <w:qFormat/>
    <w:uiPriority w:val="99"/>
    <w:pPr>
      <w:spacing w:after="120" w:line="480" w:lineRule="auto"/>
      <w:ind w:left="420" w:leftChars="200"/>
    </w:pPr>
    <w:rPr>
      <w:rFonts w:ascii="Calibri" w:hAnsi="Calibri"/>
      <w:kern w:val="0"/>
      <w:sz w:val="20"/>
    </w:rPr>
  </w:style>
  <w:style w:type="paragraph" w:styleId="8">
    <w:name w:val="Balloon Text"/>
    <w:basedOn w:val="1"/>
    <w:link w:val="21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table" w:styleId="13">
    <w:name w:val="Table Grid"/>
    <w:basedOn w:val="1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5">
    <w:name w:val="Strong"/>
    <w:basedOn w:val="14"/>
    <w:qFormat/>
    <w:locked/>
    <w:uiPriority w:val="0"/>
    <w:rPr>
      <w:b/>
    </w:rPr>
  </w:style>
  <w:style w:type="character" w:styleId="16">
    <w:name w:val="FollowedHyperlink"/>
    <w:basedOn w:val="14"/>
    <w:semiHidden/>
    <w:unhideWhenUsed/>
    <w:qFormat/>
    <w:uiPriority w:val="99"/>
    <w:rPr>
      <w:color w:val="800080"/>
      <w:u w:val="single"/>
    </w:rPr>
  </w:style>
  <w:style w:type="character" w:styleId="17">
    <w:name w:val="Hyperlink"/>
    <w:basedOn w:val="14"/>
    <w:semiHidden/>
    <w:unhideWhenUsed/>
    <w:qFormat/>
    <w:uiPriority w:val="99"/>
    <w:rPr>
      <w:color w:val="0000FF"/>
      <w:u w:val="single"/>
    </w:rPr>
  </w:style>
  <w:style w:type="character" w:styleId="18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9">
    <w:name w:val="标题 1 字符"/>
    <w:basedOn w:val="14"/>
    <w:link w:val="3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0">
    <w:name w:val="正文文本缩进 2 字符"/>
    <w:basedOn w:val="14"/>
    <w:link w:val="7"/>
    <w:qFormat/>
    <w:locked/>
    <w:uiPriority w:val="99"/>
    <w:rPr>
      <w:rFonts w:ascii="Calibri" w:hAnsi="Calibri" w:eastAsia="宋体"/>
      <w:sz w:val="24"/>
    </w:rPr>
  </w:style>
  <w:style w:type="character" w:customStyle="1" w:styleId="21">
    <w:name w:val="批注框文本 字符"/>
    <w:basedOn w:val="14"/>
    <w:link w:val="8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字符"/>
    <w:basedOn w:val="14"/>
    <w:link w:val="9"/>
    <w:semiHidden/>
    <w:qFormat/>
    <w:locked/>
    <w:uiPriority w:val="99"/>
    <w:rPr>
      <w:rFonts w:cs="Times New Roman"/>
      <w:sz w:val="18"/>
      <w:szCs w:val="18"/>
    </w:rPr>
  </w:style>
  <w:style w:type="character" w:customStyle="1" w:styleId="23">
    <w:name w:val="页眉 字符"/>
    <w:basedOn w:val="14"/>
    <w:link w:val="10"/>
    <w:semiHidden/>
    <w:qFormat/>
    <w:locked/>
    <w:uiPriority w:val="99"/>
    <w:rPr>
      <w:rFonts w:cs="Times New Roman"/>
      <w:sz w:val="18"/>
      <w:szCs w:val="18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5">
    <w:name w:val="正文文本缩进 2 Char"/>
    <w:basedOn w:val="14"/>
    <w:semiHidden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6">
    <w:name w:val="font3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font1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8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30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1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2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3">
    <w:name w:val="xl8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4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35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6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7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8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9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0">
    <w:name w:val="xl9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1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42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3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4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5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46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7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8">
    <w:name w:val="xl10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9">
    <w:name w:val="xl10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0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1">
    <w:name w:val="xl10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2">
    <w:name w:val="xl10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3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4">
    <w:name w:val="xl10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5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56">
    <w:name w:val="font41"/>
    <w:basedOn w:val="14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57">
    <w:name w:val="font21"/>
    <w:basedOn w:val="14"/>
    <w:qFormat/>
    <w:uiPriority w:val="0"/>
    <w:rPr>
      <w:rFonts w:hint="eastAsia"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58">
    <w:name w:val="font61"/>
    <w:basedOn w:val="1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59">
    <w:name w:val="font51"/>
    <w:basedOn w:val="1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0">
    <w:name w:val="font71"/>
    <w:basedOn w:val="14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paragraph" w:customStyle="1" w:styleId="61">
    <w:name w:val="党政公文-正文"/>
    <w:basedOn w:val="1"/>
    <w:qFormat/>
    <w:uiPriority w:val="0"/>
    <w:pPr>
      <w:spacing w:line="520" w:lineRule="exact"/>
      <w:ind w:firstLine="640" w:firstLineChars="200"/>
    </w:pPr>
    <w:rPr>
      <w:rFonts w:ascii="仿宋" w:hAnsi="仿宋" w:eastAsia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2821</Words>
  <Characters>3276</Characters>
  <Lines>26</Lines>
  <Paragraphs>7</Paragraphs>
  <TotalTime>14</TotalTime>
  <ScaleCrop>false</ScaleCrop>
  <LinksUpToDate>false</LinksUpToDate>
  <CharactersWithSpaces>3315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2024-04-15T10:02:00Z</dcterms:created>
  <dc:creator>admin</dc:creator>
  <cp:lastModifiedBy>叫我小强好了</cp:lastModifiedBy>
  <cp:lastPrinted>2023-05-29T10:19:00Z</cp:lastPrinted>
  <dcterms:modified xsi:type="dcterms:W3CDTF">2025-04-11T05:36:57Z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F06CE336E78D4865A818CC6B09C3C8A7</vt:lpwstr>
  </property>
  <property fmtid="{D5CDD505-2E9C-101B-9397-08002B2CF9AE}" pid="4" name="KSOTemplateDocerSaveRecord">
    <vt:lpwstr>eyJoZGlkIjoiNDhmYTcyMmZiMDk2YzJmNjU0Y2I1YzE5MTg1MjQ0OWQiLCJ1c2VySWQiOiI1ODQ5NjU3MzAifQ==</vt:lpwstr>
  </property>
</Properties>
</file>